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r>
        <w:rPr>
          <w:rFonts w:hint="eastAsia" w:hAnsi="黑体"/>
          <w:sz w:val="36"/>
          <w:szCs w:val="36"/>
        </w:rPr>
        <w:t>附件1</w:t>
      </w: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湖南省纤维检测研究院单位</w:t>
      </w:r>
      <w:r>
        <w:rPr>
          <w:rFonts w:ascii="Times New Roman" w:hAnsi="Times New Roman" w:eastAsia="方正小标宋简体" w:cs="Times New Roman"/>
          <w:sz w:val="72"/>
          <w:szCs w:val="72"/>
        </w:rPr>
        <w:t>决算</w:t>
      </w:r>
    </w:p>
    <w:p>
      <w:pPr>
        <w:pStyle w:val="15"/>
        <w:jc w:val="center"/>
        <w:rPr>
          <w:rFonts w:ascii="Times New Roman" w:hAnsi="Times New Roman" w:eastAsia="方正小标宋_GBK" w:cs="Times New Roman"/>
          <w:sz w:val="56"/>
          <w:szCs w:val="56"/>
        </w:rPr>
      </w:pPr>
    </w:p>
    <w:p>
      <w:pPr>
        <w:pStyle w:val="15"/>
        <w:jc w:val="center"/>
        <w:rPr>
          <w:rFonts w:ascii="Times New Roman" w:hAnsi="Times New Roman" w:cs="Times New Roman"/>
          <w:sz w:val="56"/>
          <w:szCs w:val="56"/>
        </w:rPr>
      </w:pPr>
    </w:p>
    <w:p>
      <w:pPr>
        <w:pStyle w:val="15"/>
        <w:rPr>
          <w:rFonts w:ascii="Times New Roman" w:hAnsi="Times New Roman" w:cs="Times New Roman"/>
          <w:sz w:val="56"/>
          <w:szCs w:val="56"/>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湖南省纤维检测研究院</w:t>
      </w:r>
      <w:r>
        <w:rPr>
          <w:rFonts w:ascii="Times New Roman" w:hAnsi="Times New Roman" w:cs="Times New Roman"/>
          <w:bCs/>
          <w:sz w:val="32"/>
          <w:szCs w:val="32"/>
        </w:rPr>
        <w:t>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第二部分 </w:t>
      </w:r>
      <w:r>
        <w:rPr>
          <w:rFonts w:hint="eastAsia" w:ascii="Times New Roman" w:hAnsi="Times New Roman" w:cs="Times New Roman"/>
          <w:bCs/>
          <w:sz w:val="32"/>
          <w:szCs w:val="32"/>
          <w:lang w:eastAsia="zh-CN"/>
        </w:rPr>
        <w:t>单位</w:t>
      </w:r>
      <w:r>
        <w:rPr>
          <w:rFonts w:ascii="Times New Roman" w:hAnsi="Times New Roman" w:cs="Times New Roman"/>
          <w:bCs/>
          <w:sz w:val="32"/>
          <w:szCs w:val="32"/>
        </w:rPr>
        <w:t>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第三部分 </w:t>
      </w:r>
      <w:r>
        <w:rPr>
          <w:rFonts w:hint="eastAsia" w:ascii="Times New Roman" w:hAnsi="Times New Roman" w:cs="Times New Roman"/>
          <w:bCs/>
          <w:sz w:val="32"/>
          <w:szCs w:val="32"/>
          <w:lang w:eastAsia="zh-CN"/>
        </w:rPr>
        <w:t>单位</w:t>
      </w:r>
      <w:r>
        <w:rPr>
          <w:rFonts w:ascii="Times New Roman" w:hAnsi="Times New Roman" w:cs="Times New Roman"/>
          <w:bCs/>
          <w:sz w:val="32"/>
          <w:szCs w:val="32"/>
        </w:rPr>
        <w:t>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9"/>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湖南省纤维检测研究院</w:t>
      </w:r>
      <w:r>
        <w:rPr>
          <w:rFonts w:ascii="Times New Roman" w:hAnsi="Times New Roman" w:eastAsia="方正小标宋_GBK" w:cs="Times New Roman"/>
          <w:sz w:val="52"/>
          <w:szCs w:val="52"/>
        </w:rPr>
        <w:t>概况</w:t>
      </w:r>
    </w:p>
    <w:p>
      <w:pPr>
        <w:pStyle w:val="5"/>
        <w:ind w:left="0" w:leftChars="0" w:firstLine="0" w:firstLineChars="0"/>
        <w:rPr>
          <w:rFonts w:ascii="Times New Roman" w:hAnsi="Times New Roman" w:cs="Times New Roman"/>
        </w:rPr>
      </w:pPr>
    </w:p>
    <w:p>
      <w:pPr>
        <w:pStyle w:val="15"/>
        <w:spacing w:line="500" w:lineRule="exact"/>
        <w:ind w:firstLine="562" w:firstLineChars="200"/>
        <w:rPr>
          <w:rFonts w:ascii="宋体" w:hAnsi="宋体" w:eastAsia="宋体" w:cs="仿宋_GB2312"/>
          <w:b/>
          <w:bCs/>
          <w:sz w:val="28"/>
          <w:szCs w:val="28"/>
          <w:highlight w:val="none"/>
        </w:rPr>
      </w:pPr>
      <w:r>
        <w:rPr>
          <w:rFonts w:ascii="宋体" w:hAnsi="宋体" w:eastAsia="宋体" w:cs="仿宋_GB2312"/>
          <w:b/>
          <w:bCs/>
          <w:sz w:val="28"/>
          <w:szCs w:val="28"/>
          <w:highlight w:val="none"/>
        </w:rPr>
        <w:t>一、</w:t>
      </w:r>
      <w:r>
        <w:rPr>
          <w:rFonts w:hint="eastAsia" w:ascii="宋体" w:hAnsi="宋体" w:eastAsia="宋体" w:cs="仿宋_GB2312"/>
          <w:b/>
          <w:bCs/>
          <w:sz w:val="28"/>
          <w:szCs w:val="28"/>
          <w:highlight w:val="none"/>
          <w:lang w:val="en-US" w:eastAsia="zh-CN"/>
        </w:rPr>
        <w:t>单位</w:t>
      </w:r>
      <w:r>
        <w:rPr>
          <w:rFonts w:ascii="宋体" w:hAnsi="宋体" w:eastAsia="宋体" w:cs="仿宋_GB2312"/>
          <w:b/>
          <w:bCs/>
          <w:sz w:val="28"/>
          <w:szCs w:val="28"/>
          <w:highlight w:val="none"/>
        </w:rPr>
        <w:t>职责</w:t>
      </w:r>
    </w:p>
    <w:p>
      <w:pPr>
        <w:keepNext w:val="0"/>
        <w:keepLines w:val="0"/>
        <w:pageBreakBefore w:val="0"/>
        <w:widowControl/>
        <w:kinsoku/>
        <w:wordWrap/>
        <w:overflowPunct/>
        <w:topLinePunct w:val="0"/>
        <w:autoSpaceDE/>
        <w:autoSpaceDN/>
        <w:bidi w:val="0"/>
        <w:adjustRightInd/>
        <w:snapToGrid/>
        <w:spacing w:line="400" w:lineRule="exact"/>
        <w:ind w:firstLine="548" w:firstLineChars="196"/>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u w:val="none"/>
        </w:rPr>
        <w:t>湖南省纤维检测研究院为湖南省市场监督管理局管理的公益一类事业单位,机构规格相当于正处级</w:t>
      </w:r>
      <w:r>
        <w:rPr>
          <w:rFonts w:hint="eastAsia" w:ascii="仿宋" w:hAnsi="仿宋" w:eastAsia="仿宋" w:cs="仿宋"/>
          <w:sz w:val="28"/>
          <w:szCs w:val="28"/>
          <w:highlight w:val="none"/>
          <w:u w:val="none"/>
          <w:lang w:eastAsia="zh-CN"/>
        </w:rPr>
        <w:t>。主要职能如下：</w:t>
      </w:r>
    </w:p>
    <w:p>
      <w:pPr>
        <w:spacing w:line="600" w:lineRule="exact"/>
        <w:ind w:firstLine="560" w:firstLineChars="200"/>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（一）</w:t>
      </w:r>
      <w:r>
        <w:rPr>
          <w:rFonts w:hint="eastAsia" w:ascii="仿宋" w:hAnsi="仿宋" w:eastAsia="仿宋" w:cs="仿宋"/>
          <w:sz w:val="28"/>
          <w:szCs w:val="28"/>
          <w:highlight w:val="none"/>
          <w:u w:val="none"/>
        </w:rPr>
        <w:t>承担棉花、苎麻等纤维质量公证检验,纤维及纤维制品监测、科研等相关事务性职能。</w:t>
      </w:r>
    </w:p>
    <w:p>
      <w:pPr>
        <w:keepNext w:val="0"/>
        <w:keepLines w:val="0"/>
        <w:pageBreakBefore w:val="0"/>
        <w:widowControl/>
        <w:kinsoku/>
        <w:wordWrap/>
        <w:overflowPunct/>
        <w:topLinePunct w:val="0"/>
        <w:autoSpaceDE/>
        <w:autoSpaceDN/>
        <w:bidi w:val="0"/>
        <w:adjustRightInd/>
        <w:snapToGrid/>
        <w:spacing w:line="400" w:lineRule="exact"/>
        <w:ind w:firstLine="548" w:firstLineChars="196"/>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（二）</w:t>
      </w:r>
      <w:r>
        <w:rPr>
          <w:rFonts w:hint="eastAsia" w:ascii="仿宋" w:hAnsi="仿宋" w:eastAsia="仿宋" w:cs="仿宋"/>
          <w:sz w:val="28"/>
          <w:szCs w:val="28"/>
          <w:highlight w:val="none"/>
          <w:u w:val="none"/>
        </w:rPr>
        <w:t>承担纤维及纤维制品质量监督管理、行政执法、监督抽查、品质调查、评价评估、风险监测、执法办案、投诉举报的相关事务性工作。</w:t>
      </w:r>
    </w:p>
    <w:p>
      <w:pPr>
        <w:keepNext w:val="0"/>
        <w:keepLines w:val="0"/>
        <w:pageBreakBefore w:val="0"/>
        <w:widowControl/>
        <w:kinsoku/>
        <w:wordWrap/>
        <w:overflowPunct/>
        <w:topLinePunct w:val="0"/>
        <w:autoSpaceDE/>
        <w:autoSpaceDN/>
        <w:bidi w:val="0"/>
        <w:adjustRightInd/>
        <w:snapToGrid/>
        <w:spacing w:line="400" w:lineRule="exact"/>
        <w:ind w:firstLine="548" w:firstLineChars="196"/>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（三）</w:t>
      </w:r>
      <w:r>
        <w:rPr>
          <w:rFonts w:hint="eastAsia" w:ascii="仿宋" w:hAnsi="仿宋" w:eastAsia="仿宋" w:cs="仿宋"/>
          <w:sz w:val="28"/>
          <w:szCs w:val="28"/>
          <w:highlight w:val="none"/>
          <w:u w:val="none"/>
        </w:rPr>
        <w:t>承担纤维及纤维制品质量复检、质量抽验、仲裁检验工作。</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（四）</w:t>
      </w:r>
      <w:r>
        <w:rPr>
          <w:rFonts w:hint="eastAsia" w:ascii="仿宋" w:hAnsi="仿宋" w:eastAsia="仿宋" w:cs="仿宋"/>
          <w:sz w:val="28"/>
          <w:szCs w:val="28"/>
          <w:highlight w:val="none"/>
          <w:u w:val="none"/>
        </w:rPr>
        <w:t>承担纤维及纤维制品质量监测体系建设工作,承担纤维质量追溯体系建设。</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（五）</w:t>
      </w:r>
      <w:r>
        <w:rPr>
          <w:rFonts w:hint="eastAsia" w:ascii="仿宋" w:hAnsi="仿宋" w:eastAsia="仿宋" w:cs="仿宋"/>
          <w:sz w:val="28"/>
          <w:szCs w:val="28"/>
          <w:highlight w:val="none"/>
          <w:u w:val="none"/>
        </w:rPr>
        <w:t>承担国家苎麻产品质量检验检测中心日常工作</w:t>
      </w:r>
      <w:r>
        <w:rPr>
          <w:rFonts w:hint="eastAsia" w:ascii="仿宋" w:hAnsi="仿宋" w:eastAsia="仿宋" w:cs="仿宋"/>
          <w:sz w:val="28"/>
          <w:szCs w:val="28"/>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48" w:firstLineChars="196"/>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（六）</w:t>
      </w:r>
      <w:r>
        <w:rPr>
          <w:rFonts w:hint="eastAsia" w:ascii="仿宋" w:hAnsi="仿宋" w:eastAsia="仿宋" w:cs="仿宋"/>
          <w:sz w:val="28"/>
          <w:szCs w:val="28"/>
          <w:highlight w:val="none"/>
          <w:u w:val="none"/>
        </w:rPr>
        <w:t>承担纤维及纤维制品的标准制修订、培训交流、检测技术开发工作。</w:t>
      </w:r>
    </w:p>
    <w:p>
      <w:pPr>
        <w:keepNext w:val="0"/>
        <w:keepLines w:val="0"/>
        <w:pageBreakBefore w:val="0"/>
        <w:widowControl/>
        <w:kinsoku/>
        <w:wordWrap/>
        <w:overflowPunct/>
        <w:topLinePunct w:val="0"/>
        <w:autoSpaceDE/>
        <w:autoSpaceDN/>
        <w:bidi w:val="0"/>
        <w:adjustRightInd/>
        <w:snapToGrid/>
        <w:spacing w:line="400" w:lineRule="exact"/>
        <w:ind w:firstLine="548" w:firstLineChars="196"/>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（七）</w:t>
      </w:r>
      <w:r>
        <w:rPr>
          <w:rFonts w:hint="eastAsia" w:ascii="仿宋" w:hAnsi="仿宋" w:eastAsia="仿宋" w:cs="仿宋"/>
          <w:sz w:val="28"/>
          <w:szCs w:val="28"/>
          <w:highlight w:val="none"/>
          <w:u w:val="none"/>
        </w:rPr>
        <w:t>承担全省纤维及纤维制品专用计量器具的检定、校准工作。</w:t>
      </w:r>
    </w:p>
    <w:p>
      <w:pPr>
        <w:keepNext w:val="0"/>
        <w:keepLines w:val="0"/>
        <w:pageBreakBefore w:val="0"/>
        <w:widowControl/>
        <w:kinsoku/>
        <w:wordWrap/>
        <w:overflowPunct/>
        <w:topLinePunct w:val="0"/>
        <w:autoSpaceDE/>
        <w:autoSpaceDN/>
        <w:bidi w:val="0"/>
        <w:adjustRightInd/>
        <w:snapToGrid/>
        <w:spacing w:line="400" w:lineRule="exact"/>
        <w:ind w:firstLine="548" w:firstLineChars="196"/>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（八）</w:t>
      </w:r>
      <w:r>
        <w:rPr>
          <w:rFonts w:hint="eastAsia" w:ascii="仿宋" w:hAnsi="仿宋" w:eastAsia="仿宋" w:cs="仿宋"/>
          <w:sz w:val="28"/>
          <w:szCs w:val="28"/>
          <w:highlight w:val="none"/>
          <w:u w:val="none"/>
        </w:rPr>
        <w:t>向社会提供纤维质量检测相关技术服务</w:t>
      </w:r>
      <w:r>
        <w:rPr>
          <w:rFonts w:hint="eastAsia" w:ascii="仿宋" w:hAnsi="仿宋" w:eastAsia="仿宋" w:cs="仿宋"/>
          <w:sz w:val="28"/>
          <w:szCs w:val="28"/>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48" w:firstLineChars="196"/>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sz w:val="28"/>
          <w:szCs w:val="28"/>
          <w:highlight w:val="none"/>
          <w:u w:val="none"/>
          <w:lang w:eastAsia="zh-CN"/>
        </w:rPr>
        <w:t>（九）</w:t>
      </w:r>
      <w:r>
        <w:rPr>
          <w:rFonts w:hint="eastAsia" w:ascii="仿宋" w:hAnsi="仿宋" w:eastAsia="仿宋" w:cs="仿宋"/>
          <w:sz w:val="28"/>
          <w:szCs w:val="28"/>
          <w:highlight w:val="none"/>
          <w:u w:val="none"/>
        </w:rPr>
        <w:t>完成省市场监督管理局交办的其他任务</w:t>
      </w:r>
      <w:r>
        <w:rPr>
          <w:rFonts w:hint="eastAsia" w:ascii="仿宋" w:hAnsi="仿宋" w:eastAsia="仿宋" w:cs="仿宋"/>
          <w:sz w:val="28"/>
          <w:szCs w:val="28"/>
          <w:highlight w:val="none"/>
          <w:u w:val="none"/>
          <w:lang w:eastAsia="zh-CN"/>
        </w:rPr>
        <w:t>。</w:t>
      </w:r>
    </w:p>
    <w:p>
      <w:pPr>
        <w:pStyle w:val="15"/>
        <w:spacing w:line="500" w:lineRule="exact"/>
        <w:ind w:firstLine="702" w:firstLineChars="250"/>
        <w:rPr>
          <w:rFonts w:hint="default" w:ascii="宋体" w:hAnsi="宋体" w:eastAsia="宋体" w:cs="仿宋_GB2312"/>
          <w:b/>
          <w:bCs/>
          <w:sz w:val="28"/>
          <w:szCs w:val="28"/>
          <w:highlight w:val="none"/>
          <w:lang w:val="en-US" w:eastAsia="zh-CN"/>
        </w:rPr>
      </w:pPr>
      <w:r>
        <w:rPr>
          <w:rFonts w:ascii="宋体" w:hAnsi="宋体" w:eastAsia="宋体" w:cs="仿宋_GB2312"/>
          <w:b/>
          <w:bCs/>
          <w:sz w:val="28"/>
          <w:szCs w:val="28"/>
          <w:highlight w:val="none"/>
        </w:rPr>
        <w:t>二、机构设置</w:t>
      </w:r>
      <w:r>
        <w:rPr>
          <w:rFonts w:hint="eastAsia" w:ascii="宋体" w:hAnsi="宋体" w:eastAsia="宋体" w:cs="仿宋_GB2312"/>
          <w:b/>
          <w:bCs/>
          <w:sz w:val="28"/>
          <w:szCs w:val="28"/>
          <w:highlight w:val="none"/>
          <w:lang w:val="en-US" w:eastAsia="zh-CN"/>
        </w:rPr>
        <w:t>及决算单位构成</w:t>
      </w:r>
    </w:p>
    <w:p>
      <w:pPr>
        <w:keepNext w:val="0"/>
        <w:keepLines w:val="0"/>
        <w:pageBreakBefore w:val="0"/>
        <w:widowControl/>
        <w:kinsoku/>
        <w:wordWrap/>
        <w:overflowPunct/>
        <w:topLinePunct w:val="0"/>
        <w:autoSpaceDE/>
        <w:autoSpaceDN/>
        <w:bidi w:val="0"/>
        <w:adjustRightInd/>
        <w:snapToGrid/>
        <w:spacing w:line="400" w:lineRule="exact"/>
        <w:ind w:firstLine="548" w:firstLineChars="196"/>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（一）</w:t>
      </w:r>
      <w:r>
        <w:rPr>
          <w:rFonts w:hint="eastAsia" w:ascii="仿宋" w:hAnsi="仿宋" w:eastAsia="仿宋" w:cs="仿宋"/>
          <w:bCs/>
          <w:kern w:val="0"/>
          <w:sz w:val="28"/>
          <w:szCs w:val="28"/>
          <w:highlight w:val="none"/>
        </w:rPr>
        <w:t>内设机构设置。</w:t>
      </w:r>
      <w:r>
        <w:rPr>
          <w:rFonts w:hint="eastAsia" w:ascii="仿宋" w:hAnsi="仿宋" w:eastAsia="仿宋" w:cs="仿宋"/>
          <w:bCs/>
          <w:kern w:val="0"/>
          <w:sz w:val="28"/>
          <w:szCs w:val="28"/>
          <w:highlight w:val="none"/>
          <w:lang w:val="en-US" w:eastAsia="zh-CN"/>
        </w:rPr>
        <w:t>本单位</w:t>
      </w:r>
      <w:r>
        <w:rPr>
          <w:rFonts w:hint="eastAsia" w:ascii="仿宋" w:hAnsi="仿宋" w:eastAsia="仿宋" w:cs="仿宋"/>
          <w:sz w:val="28"/>
          <w:szCs w:val="28"/>
          <w:highlight w:val="none"/>
          <w:u w:val="none"/>
        </w:rPr>
        <w:t>内设</w:t>
      </w:r>
      <w:r>
        <w:rPr>
          <w:rFonts w:hint="eastAsia" w:ascii="仿宋" w:hAnsi="仿宋" w:eastAsia="仿宋" w:cs="仿宋"/>
          <w:sz w:val="28"/>
          <w:szCs w:val="28"/>
          <w:highlight w:val="none"/>
          <w:u w:val="none"/>
          <w:lang w:eastAsia="zh-CN"/>
        </w:rPr>
        <w:t>综合部</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none"/>
          <w:lang w:eastAsia="zh-CN"/>
        </w:rPr>
        <w:t>党务人事部</w:t>
      </w:r>
      <w:r>
        <w:rPr>
          <w:rFonts w:hint="eastAsia" w:ascii="仿宋" w:hAnsi="仿宋" w:eastAsia="仿宋" w:cs="仿宋"/>
          <w:sz w:val="28"/>
          <w:szCs w:val="28"/>
          <w:highlight w:val="none"/>
          <w:u w:val="none"/>
        </w:rPr>
        <w:t>、质保法制</w:t>
      </w:r>
      <w:r>
        <w:rPr>
          <w:rFonts w:hint="eastAsia" w:ascii="仿宋" w:hAnsi="仿宋" w:eastAsia="仿宋" w:cs="仿宋"/>
          <w:sz w:val="28"/>
          <w:szCs w:val="28"/>
          <w:highlight w:val="none"/>
          <w:u w:val="none"/>
          <w:lang w:eastAsia="zh-CN"/>
        </w:rPr>
        <w:t>部</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none"/>
          <w:lang w:eastAsia="zh-CN"/>
        </w:rPr>
        <w:t>质量</w:t>
      </w:r>
      <w:r>
        <w:rPr>
          <w:rFonts w:hint="eastAsia" w:ascii="仿宋" w:hAnsi="仿宋" w:eastAsia="仿宋" w:cs="仿宋"/>
          <w:sz w:val="28"/>
          <w:szCs w:val="28"/>
          <w:highlight w:val="none"/>
          <w:u w:val="none"/>
        </w:rPr>
        <w:t>监</w:t>
      </w:r>
      <w:r>
        <w:rPr>
          <w:rFonts w:hint="eastAsia" w:ascii="仿宋" w:hAnsi="仿宋" w:eastAsia="仿宋" w:cs="仿宋"/>
          <w:sz w:val="28"/>
          <w:szCs w:val="28"/>
          <w:highlight w:val="none"/>
          <w:u w:val="none"/>
          <w:lang w:eastAsia="zh-CN"/>
        </w:rPr>
        <w:t>测部</w:t>
      </w:r>
      <w:r>
        <w:rPr>
          <w:rFonts w:hint="eastAsia" w:ascii="仿宋" w:hAnsi="仿宋" w:eastAsia="仿宋" w:cs="仿宋"/>
          <w:sz w:val="28"/>
          <w:szCs w:val="28"/>
          <w:highlight w:val="none"/>
          <w:u w:val="none"/>
        </w:rPr>
        <w:t>、棉花公检</w:t>
      </w:r>
      <w:r>
        <w:rPr>
          <w:rFonts w:hint="eastAsia" w:ascii="仿宋" w:hAnsi="仿宋" w:eastAsia="仿宋" w:cs="仿宋"/>
          <w:sz w:val="28"/>
          <w:szCs w:val="28"/>
          <w:highlight w:val="none"/>
          <w:u w:val="none"/>
          <w:lang w:eastAsia="zh-CN"/>
        </w:rPr>
        <w:t>部</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none"/>
          <w:lang w:eastAsia="zh-CN"/>
        </w:rPr>
        <w:t>质量检验部</w:t>
      </w:r>
      <w:r>
        <w:rPr>
          <w:rFonts w:hint="eastAsia" w:ascii="仿宋" w:hAnsi="仿宋" w:eastAsia="仿宋" w:cs="仿宋"/>
          <w:sz w:val="28"/>
          <w:szCs w:val="28"/>
          <w:highlight w:val="none"/>
          <w:u w:val="none"/>
        </w:rPr>
        <w:t>共</w:t>
      </w:r>
      <w:r>
        <w:rPr>
          <w:rFonts w:hint="eastAsia" w:ascii="仿宋" w:hAnsi="仿宋" w:eastAsia="仿宋" w:cs="仿宋"/>
          <w:sz w:val="28"/>
          <w:szCs w:val="28"/>
          <w:highlight w:val="none"/>
          <w:u w:val="none"/>
          <w:lang w:val="en-US" w:eastAsia="zh-CN"/>
        </w:rPr>
        <w:t>6</w:t>
      </w:r>
      <w:r>
        <w:rPr>
          <w:rFonts w:hint="eastAsia" w:ascii="仿宋" w:hAnsi="仿宋" w:eastAsia="仿宋" w:cs="仿宋"/>
          <w:sz w:val="28"/>
          <w:szCs w:val="28"/>
          <w:highlight w:val="none"/>
          <w:u w:val="none"/>
        </w:rPr>
        <w:t>个</w:t>
      </w:r>
      <w:r>
        <w:rPr>
          <w:rFonts w:hint="eastAsia" w:ascii="仿宋" w:hAnsi="仿宋" w:eastAsia="仿宋" w:cs="仿宋"/>
          <w:sz w:val="28"/>
          <w:szCs w:val="28"/>
          <w:highlight w:val="none"/>
          <w:u w:val="none"/>
          <w:lang w:val="en-US" w:eastAsia="zh-CN"/>
        </w:rPr>
        <w:t>部门</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none"/>
          <w:lang w:eastAsia="zh-CN"/>
        </w:rPr>
        <w:t>具体为：</w:t>
      </w:r>
    </w:p>
    <w:p>
      <w:pPr>
        <w:keepNext w:val="0"/>
        <w:keepLines w:val="0"/>
        <w:pageBreakBefore w:val="0"/>
        <w:widowControl/>
        <w:kinsoku/>
        <w:wordWrap/>
        <w:overflowPunct/>
        <w:topLinePunct w:val="0"/>
        <w:autoSpaceDE/>
        <w:autoSpaceDN/>
        <w:bidi w:val="0"/>
        <w:adjustRightInd/>
        <w:snapToGrid/>
        <w:spacing w:line="400" w:lineRule="exact"/>
        <w:ind w:firstLine="548" w:firstLineChars="196"/>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rPr>
        <w:t>综合部</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负责文秘、财务、宣传、机要、安全、保密、信访、政务公开、后勤管理、信息化建设等工作。</w:t>
      </w:r>
    </w:p>
    <w:p>
      <w:pPr>
        <w:keepNext w:val="0"/>
        <w:keepLines w:val="0"/>
        <w:pageBreakBefore w:val="0"/>
        <w:widowControl/>
        <w:kinsoku/>
        <w:wordWrap/>
        <w:overflowPunct/>
        <w:topLinePunct w:val="0"/>
        <w:autoSpaceDE/>
        <w:autoSpaceDN/>
        <w:bidi w:val="0"/>
        <w:adjustRightInd/>
        <w:snapToGrid/>
        <w:spacing w:line="400" w:lineRule="exact"/>
        <w:ind w:firstLine="548" w:firstLineChars="196"/>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党务人事部</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负责党建、群团、纪检监察、人事、离退休人员管理、工会等工作。</w:t>
      </w:r>
    </w:p>
    <w:p>
      <w:pPr>
        <w:keepNext w:val="0"/>
        <w:keepLines w:val="0"/>
        <w:pageBreakBefore w:val="0"/>
        <w:widowControl/>
        <w:kinsoku/>
        <w:wordWrap/>
        <w:overflowPunct/>
        <w:topLinePunct w:val="0"/>
        <w:autoSpaceDE/>
        <w:autoSpaceDN/>
        <w:bidi w:val="0"/>
        <w:adjustRightInd/>
        <w:snapToGrid/>
        <w:spacing w:line="400" w:lineRule="exact"/>
        <w:ind w:firstLine="548" w:firstLineChars="196"/>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3.</w:t>
      </w:r>
      <w:r>
        <w:rPr>
          <w:rFonts w:hint="eastAsia" w:ascii="仿宋" w:hAnsi="仿宋" w:eastAsia="仿宋" w:cs="仿宋"/>
          <w:sz w:val="28"/>
          <w:szCs w:val="28"/>
          <w:highlight w:val="none"/>
          <w:u w:val="none"/>
        </w:rPr>
        <w:t>质保法制部</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负责质量管理、法规宣教工作</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负责对本省棉花、苎麻等纤维公检工作质量的抽查抽验。</w:t>
      </w:r>
    </w:p>
    <w:p>
      <w:pPr>
        <w:keepNext w:val="0"/>
        <w:keepLines w:val="0"/>
        <w:pageBreakBefore w:val="0"/>
        <w:widowControl/>
        <w:kinsoku/>
        <w:wordWrap/>
        <w:overflowPunct/>
        <w:topLinePunct w:val="0"/>
        <w:autoSpaceDE/>
        <w:autoSpaceDN/>
        <w:bidi w:val="0"/>
        <w:adjustRightInd/>
        <w:snapToGrid/>
        <w:spacing w:line="400" w:lineRule="exact"/>
        <w:ind w:firstLine="548" w:firstLineChars="196"/>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4.</w:t>
      </w:r>
      <w:r>
        <w:rPr>
          <w:rFonts w:hint="eastAsia" w:ascii="仿宋" w:hAnsi="仿宋" w:eastAsia="仿宋" w:cs="仿宋"/>
          <w:sz w:val="28"/>
          <w:szCs w:val="28"/>
          <w:highlight w:val="none"/>
          <w:u w:val="none"/>
        </w:rPr>
        <w:t>质量监测部</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负责纤维和纤维制品质量监测工作</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承担苎麻产品国抽的抽样、纤维和纤维制品质量监督管理、行政执法、投诉举报的相关事务性工作。</w:t>
      </w:r>
    </w:p>
    <w:p>
      <w:pPr>
        <w:keepNext w:val="0"/>
        <w:keepLines w:val="0"/>
        <w:pageBreakBefore w:val="0"/>
        <w:widowControl/>
        <w:kinsoku/>
        <w:wordWrap/>
        <w:overflowPunct/>
        <w:topLinePunct w:val="0"/>
        <w:autoSpaceDE/>
        <w:autoSpaceDN/>
        <w:bidi w:val="0"/>
        <w:adjustRightInd/>
        <w:snapToGrid/>
        <w:spacing w:line="400" w:lineRule="exact"/>
        <w:ind w:firstLine="548" w:firstLineChars="196"/>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5.</w:t>
      </w:r>
      <w:r>
        <w:rPr>
          <w:rFonts w:hint="eastAsia" w:ascii="仿宋" w:hAnsi="仿宋" w:eastAsia="仿宋" w:cs="仿宋"/>
          <w:sz w:val="28"/>
          <w:szCs w:val="28"/>
          <w:highlight w:val="none"/>
          <w:u w:val="none"/>
        </w:rPr>
        <w:t>棉花公检部</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负责棉花公证检验和絮棉制品检验工作</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负责全省棉花检验技术管理、标准制修订、科研工作,组织全省棉花检验技术交流活动。承担全省纤维计量检定站日常工作。</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6.</w:t>
      </w:r>
      <w:r>
        <w:rPr>
          <w:rFonts w:hint="eastAsia" w:ascii="仿宋" w:hAnsi="仿宋" w:eastAsia="仿宋" w:cs="仿宋"/>
          <w:sz w:val="28"/>
          <w:szCs w:val="28"/>
          <w:highlight w:val="none"/>
          <w:u w:val="none"/>
        </w:rPr>
        <w:t>质量检验部</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承担苎麻的公证检验工作.承担非棉纤维和纤维制品的检验、科研、检测技术开发和标准制修订工作。</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bCs/>
          <w:kern w:val="0"/>
          <w:sz w:val="28"/>
          <w:szCs w:val="28"/>
          <w:highlight w:val="none"/>
        </w:rPr>
        <w:t>（二）</w:t>
      </w:r>
      <w:r>
        <w:rPr>
          <w:rFonts w:hint="eastAsia" w:ascii="仿宋" w:hAnsi="仿宋" w:eastAsia="仿宋" w:cs="仿宋"/>
          <w:sz w:val="28"/>
          <w:szCs w:val="28"/>
          <w:highlight w:val="none"/>
          <w:u w:val="none"/>
        </w:rPr>
        <w:t>决算单位构成。</w:t>
      </w:r>
      <w:r>
        <w:rPr>
          <w:rFonts w:hint="eastAsia" w:ascii="仿宋" w:hAnsi="仿宋" w:eastAsia="仿宋" w:cs="仿宋"/>
          <w:sz w:val="28"/>
          <w:szCs w:val="28"/>
          <w:highlight w:val="none"/>
          <w:u w:val="none"/>
          <w:lang w:eastAsia="zh-CN"/>
        </w:rPr>
        <w:t>湖南省纤维检测研究院</w:t>
      </w:r>
      <w:r>
        <w:rPr>
          <w:rFonts w:hint="eastAsia" w:ascii="仿宋" w:hAnsi="仿宋" w:eastAsia="仿宋" w:cs="仿宋"/>
          <w:sz w:val="28"/>
          <w:szCs w:val="28"/>
          <w:highlight w:val="none"/>
          <w:u w:val="none"/>
        </w:rPr>
        <w:t>2024年部门决算汇总公开单位构成包括：</w:t>
      </w:r>
      <w:r>
        <w:rPr>
          <w:rFonts w:hint="eastAsia" w:ascii="仿宋" w:hAnsi="仿宋" w:eastAsia="仿宋" w:cs="仿宋"/>
          <w:sz w:val="28"/>
          <w:szCs w:val="28"/>
          <w:highlight w:val="none"/>
          <w:u w:val="none"/>
          <w:lang w:eastAsia="zh-CN"/>
        </w:rPr>
        <w:t>湖南省纤维检测研究院</w:t>
      </w:r>
      <w:r>
        <w:rPr>
          <w:rFonts w:hint="eastAsia" w:ascii="仿宋" w:hAnsi="仿宋" w:eastAsia="仿宋" w:cs="仿宋"/>
          <w:sz w:val="28"/>
          <w:szCs w:val="28"/>
          <w:highlight w:val="none"/>
          <w:u w:val="none"/>
        </w:rPr>
        <w:t>本级</w:t>
      </w:r>
      <w:r>
        <w:rPr>
          <w:rFonts w:hint="eastAsia" w:ascii="仿宋" w:hAnsi="仿宋" w:eastAsia="仿宋" w:cs="仿宋"/>
          <w:sz w:val="28"/>
          <w:szCs w:val="28"/>
          <w:highlight w:val="none"/>
          <w:u w:val="none"/>
          <w:lang w:eastAsia="zh-CN"/>
        </w:rPr>
        <w:t>。</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9"/>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第二部分  </w:t>
      </w:r>
      <w:r>
        <w:rPr>
          <w:rFonts w:hint="eastAsia" w:ascii="Times New Roman" w:hAnsi="Times New Roman" w:eastAsia="方正小标宋_GBK" w:cs="Times New Roman"/>
          <w:sz w:val="52"/>
          <w:szCs w:val="52"/>
          <w:lang w:eastAsia="zh-CN"/>
        </w:rPr>
        <w:t>单位</w:t>
      </w:r>
      <w:r>
        <w:rPr>
          <w:rFonts w:ascii="Times New Roman" w:hAnsi="Times New Roman" w:eastAsia="方正小标宋_GBK" w:cs="Times New Roman"/>
          <w:sz w:val="52"/>
          <w:szCs w:val="52"/>
        </w:rPr>
        <w:t>决算表</w:t>
      </w:r>
    </w:p>
    <w:tbl>
      <w:tblPr>
        <w:tblStyle w:val="11"/>
        <w:tblW w:w="124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20"/>
        <w:gridCol w:w="656"/>
        <w:gridCol w:w="1171"/>
        <w:gridCol w:w="4199"/>
        <w:gridCol w:w="656"/>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val="en-US" w:eastAsia="zh-CN"/>
              </w:rPr>
              <w:t xml:space="preserve">                                                                  </w:t>
            </w:r>
          </w:p>
        </w:tc>
        <w:tc>
          <w:tcPr>
            <w:tcW w:w="65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370" w:type="dxa"/>
            <w:gridSpan w:val="2"/>
            <w:tcBorders>
              <w:top w:val="nil"/>
              <w:left w:val="nil"/>
              <w:bottom w:val="nil"/>
              <w:right w:val="nil"/>
            </w:tcBorders>
            <w:shd w:val="clear" w:color="auto" w:fill="auto"/>
            <w:noWrap/>
            <w:vAlign w:val="center"/>
          </w:tcPr>
          <w:p>
            <w:pPr>
              <w:jc w:val="both"/>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36"/>
                <w:szCs w:val="36"/>
                <w:u w:val="none"/>
                <w:lang w:eastAsia="zh-CN"/>
              </w:rPr>
              <w:t>收入支出决算总表</w:t>
            </w:r>
          </w:p>
        </w:tc>
        <w:tc>
          <w:tcPr>
            <w:tcW w:w="65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5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单位：湖南省纤维检测研究院</w:t>
            </w: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1,683.24</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452.28</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2,156.79</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tbl>
      <w:tblPr>
        <w:tblStyle w:val="11"/>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88"/>
        <w:gridCol w:w="240"/>
        <w:gridCol w:w="240"/>
        <w:gridCol w:w="3908"/>
        <w:gridCol w:w="1100"/>
        <w:gridCol w:w="1064"/>
        <w:gridCol w:w="742"/>
        <w:gridCol w:w="702"/>
        <w:gridCol w:w="920"/>
        <w:gridCol w:w="865"/>
        <w:gridCol w:w="1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78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08"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r>
              <w:rPr>
                <w:rFonts w:hint="eastAsia" w:ascii="黑体" w:hAnsi="宋体" w:eastAsia="黑体" w:cs="黑体"/>
                <w:i w:val="0"/>
                <w:iCs w:val="0"/>
                <w:color w:val="000000"/>
                <w:kern w:val="0"/>
                <w:sz w:val="30"/>
                <w:szCs w:val="30"/>
                <w:u w:val="none"/>
                <w:lang w:val="en-US" w:eastAsia="zh-CN" w:bidi="ar"/>
              </w:rPr>
              <w:t xml:space="preserve">              收入决算表</w:t>
            </w:r>
          </w:p>
        </w:tc>
        <w:tc>
          <w:tcPr>
            <w:tcW w:w="11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p>
        </w:tc>
        <w:tc>
          <w:tcPr>
            <w:tcW w:w="74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5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0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4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58"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8"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单位：湖南省纤维检测研究院</w:t>
            </w: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0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4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58"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74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Times New Roman" w:hAnsi="Times New Roman" w:eastAsia="仿宋_GB2312" w:cs="Times New Roman"/>
                <w:b/>
                <w:bCs/>
              </w:rPr>
              <w:t>功能分类科目编码</w:t>
            </w:r>
          </w:p>
        </w:tc>
        <w:tc>
          <w:tcPr>
            <w:tcW w:w="390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39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390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1,704.50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1,683.24</w:t>
            </w:r>
          </w:p>
        </w:tc>
        <w:tc>
          <w:tcPr>
            <w:tcW w:w="74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9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729.73</w:t>
            </w:r>
          </w:p>
        </w:tc>
        <w:tc>
          <w:tcPr>
            <w:tcW w:w="10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729.73</w:t>
            </w:r>
          </w:p>
        </w:tc>
        <w:tc>
          <w:tcPr>
            <w:tcW w:w="74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2013804</w:t>
            </w:r>
          </w:p>
        </w:tc>
        <w:tc>
          <w:tcPr>
            <w:tcW w:w="3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市场主体管理</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69.33</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69.33</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2013810</w:t>
            </w:r>
          </w:p>
        </w:tc>
        <w:tc>
          <w:tcPr>
            <w:tcW w:w="3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质量基础</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537.00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537.00</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其他市场监督管理事务</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28.26</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2050803</w:t>
            </w:r>
          </w:p>
        </w:tc>
        <w:tc>
          <w:tcPr>
            <w:tcW w:w="3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培训支出</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92.16</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92.16</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57.07</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57.07</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43.86</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43.86</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27" w:type="dxa"/>
            <w:gridSpan w:val="1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tbl>
      <w:tblPr>
        <w:tblStyle w:val="11"/>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49"/>
        <w:gridCol w:w="322"/>
        <w:gridCol w:w="322"/>
        <w:gridCol w:w="3646"/>
        <w:gridCol w:w="1394"/>
        <w:gridCol w:w="1352"/>
        <w:gridCol w:w="1213"/>
        <w:gridCol w:w="809"/>
        <w:gridCol w:w="739"/>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9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bookmarkStart w:id="0" w:name="RANGE!A1:I22"/>
            <w:bookmarkEnd w:id="0"/>
            <w:bookmarkStart w:id="1" w:name="RANGE!A1:F16"/>
          </w:p>
        </w:tc>
        <w:tc>
          <w:tcPr>
            <w:tcW w:w="3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1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07" w:type="dxa"/>
            <w:gridSpan w:val="2"/>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c>
          <w:tcPr>
            <w:tcW w:w="123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5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单位：湖南省纤维检测研究院</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2"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Times New Roman" w:hAnsi="Times New Roman" w:eastAsia="仿宋_GB2312" w:cs="Times New Roman"/>
                <w:b/>
                <w:bCs/>
              </w:rPr>
              <w:t>功能分类科目编码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1,054.97</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855.49</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市场主体管理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质量基础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其他市场监督管理事务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tbl>
      <w:tblPr>
        <w:tblStyle w:val="11"/>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1"/>
        <w:gridCol w:w="569"/>
        <w:gridCol w:w="1397"/>
        <w:gridCol w:w="3893"/>
        <w:gridCol w:w="439"/>
        <w:gridCol w:w="980"/>
        <w:gridCol w:w="1238"/>
        <w:gridCol w:w="845"/>
        <w:gridCol w:w="1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1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9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93"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kern w:val="0"/>
                <w:sz w:val="30"/>
                <w:szCs w:val="30"/>
                <w:u w:val="none"/>
                <w:lang w:val="en-US" w:eastAsia="zh-CN" w:bidi="ar"/>
              </w:rPr>
            </w:pPr>
          </w:p>
          <w:p>
            <w:pPr>
              <w:keepNext w:val="0"/>
              <w:keepLines w:val="0"/>
              <w:widowControl/>
              <w:suppressLineNumbers w:val="0"/>
              <w:jc w:val="both"/>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c>
          <w:tcPr>
            <w:tcW w:w="43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4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9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9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4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5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1"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单位：湖南省纤维检测研究院</w:t>
            </w:r>
          </w:p>
        </w:tc>
        <w:tc>
          <w:tcPr>
            <w:tcW w:w="5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9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9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4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5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7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950"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1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89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21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5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389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1,683.24</w:t>
            </w: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1,554.15</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1,554.15</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162.22</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162.22</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100.93</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100.93</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1,683.24</w:t>
            </w: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1,893.13</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1,893.13</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441.94</w:t>
            </w: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441.94</w:t>
            </w: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2,125.18</w:t>
            </w:r>
          </w:p>
        </w:tc>
        <w:tc>
          <w:tcPr>
            <w:tcW w:w="38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2,125.18</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2,125.18</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72" w:type="dxa"/>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555" w:type="dxa"/>
            <w:tcBorders>
              <w:top w:val="single" w:color="000000" w:sz="4" w:space="0"/>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bookmarkEnd w:id="1"/>
    <w:tbl>
      <w:tblPr>
        <w:tblStyle w:val="11"/>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14"/>
        <w:gridCol w:w="330"/>
        <w:gridCol w:w="330"/>
        <w:gridCol w:w="3920"/>
        <w:gridCol w:w="2244"/>
        <w:gridCol w:w="2244"/>
        <w:gridCol w:w="2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81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164" w:type="dxa"/>
            <w:gridSpan w:val="2"/>
            <w:tcBorders>
              <w:top w:val="nil"/>
              <w:left w:val="nil"/>
              <w:bottom w:val="nil"/>
              <w:right w:val="nil"/>
            </w:tcBorders>
            <w:shd w:val="clear" w:color="auto" w:fill="auto"/>
            <w:noWrap/>
            <w:vAlign w:val="center"/>
          </w:tcPr>
          <w:p>
            <w:pPr>
              <w:ind w:firstLine="600" w:firstLineChars="200"/>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c>
          <w:tcPr>
            <w:tcW w:w="224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4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1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4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4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4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14" w:type="dxa"/>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单位：湖南省纤维检测研究院</w:t>
            </w:r>
          </w:p>
        </w:tc>
        <w:tc>
          <w:tcPr>
            <w:tcW w:w="330"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0"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20"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44"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44"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45" w:type="dxa"/>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94"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3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Times New Roman" w:hAnsi="Times New Roman" w:eastAsia="仿宋_GB2312" w:cs="Times New Roman"/>
                <w:b/>
                <w:bCs/>
              </w:rPr>
              <w:t>功能分类科目编码</w:t>
            </w:r>
          </w:p>
        </w:tc>
        <w:tc>
          <w:tcPr>
            <w:tcW w:w="392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4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4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392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392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94"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94"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1,893.13</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1,054.97</w:t>
            </w:r>
          </w:p>
        </w:tc>
        <w:tc>
          <w:tcPr>
            <w:tcW w:w="22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728.42</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728.42</w:t>
            </w:r>
          </w:p>
        </w:tc>
        <w:tc>
          <w:tcPr>
            <w:tcW w:w="22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2013804</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市场主体管理</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70.17</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22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2013810</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质量基础</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748.56</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22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其他市场监督管理事务</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22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2050803</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培训支出</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22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92.16</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92.16</w:t>
            </w:r>
          </w:p>
        </w:tc>
        <w:tc>
          <w:tcPr>
            <w:tcW w:w="22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22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2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57.07</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57.07</w:t>
            </w:r>
          </w:p>
        </w:tc>
        <w:tc>
          <w:tcPr>
            <w:tcW w:w="22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43.86</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43.86</w:t>
            </w:r>
          </w:p>
        </w:tc>
        <w:tc>
          <w:tcPr>
            <w:tcW w:w="22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w:t>
            </w:r>
          </w:p>
        </w:tc>
        <w:tc>
          <w:tcPr>
            <w:tcW w:w="22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27" w:type="dxa"/>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142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26"/>
        <w:gridCol w:w="2189"/>
        <w:gridCol w:w="927"/>
        <w:gridCol w:w="734"/>
        <w:gridCol w:w="2149"/>
        <w:gridCol w:w="828"/>
        <w:gridCol w:w="726"/>
        <w:gridCol w:w="2664"/>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52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17" w:type="dxa"/>
            <w:gridSpan w:val="7"/>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c>
          <w:tcPr>
            <w:tcW w:w="146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2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8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4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6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526" w:type="dxa"/>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单位：湖南省纤维检测研究院</w:t>
            </w:r>
          </w:p>
        </w:tc>
        <w:tc>
          <w:tcPr>
            <w:tcW w:w="2189"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4"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49"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6"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66" w:type="dxa"/>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4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56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_GB2312" w:cs="Times New Roman"/>
                <w:b/>
                <w:kern w:val="0"/>
                <w:szCs w:val="21"/>
                <w:lang w:eastAsia="zh-CN"/>
              </w:rPr>
              <w:t>经济</w:t>
            </w:r>
            <w:r>
              <w:rPr>
                <w:rFonts w:ascii="Times New Roman" w:hAnsi="Times New Roman" w:eastAsia="仿宋_GB2312" w:cs="Times New Roman"/>
                <w:b/>
                <w:kern w:val="0"/>
                <w:szCs w:val="21"/>
              </w:rPr>
              <w:t>分类科目编码</w:t>
            </w:r>
          </w:p>
        </w:tc>
        <w:tc>
          <w:tcPr>
            <w:tcW w:w="218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_GB2312" w:cs="Times New Roman"/>
                <w:b/>
                <w:kern w:val="0"/>
                <w:szCs w:val="21"/>
                <w:lang w:eastAsia="zh-CN"/>
              </w:rPr>
              <w:t>经济</w:t>
            </w:r>
            <w:r>
              <w:rPr>
                <w:rFonts w:ascii="Times New Roman" w:hAnsi="Times New Roman" w:eastAsia="仿宋_GB2312" w:cs="Times New Roman"/>
                <w:b/>
                <w:kern w:val="0"/>
                <w:szCs w:val="21"/>
              </w:rPr>
              <w:t>分类科目编码</w:t>
            </w:r>
          </w:p>
        </w:tc>
        <w:tc>
          <w:tcPr>
            <w:tcW w:w="214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_GB2312" w:cs="Times New Roman"/>
                <w:b/>
                <w:kern w:val="0"/>
                <w:szCs w:val="21"/>
                <w:lang w:eastAsia="zh-CN"/>
              </w:rPr>
              <w:t>经济</w:t>
            </w:r>
            <w:r>
              <w:rPr>
                <w:rFonts w:ascii="Times New Roman" w:hAnsi="Times New Roman" w:eastAsia="仿宋_GB2312" w:cs="Times New Roman"/>
                <w:b/>
                <w:kern w:val="0"/>
                <w:szCs w:val="21"/>
              </w:rPr>
              <w:t>分类科目编码</w:t>
            </w:r>
          </w:p>
        </w:tc>
        <w:tc>
          <w:tcPr>
            <w:tcW w:w="266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1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754.20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197.01</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171.69</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138.79</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174.15</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18.87</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97.15</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43.86</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92.16</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92.16</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1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7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1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846.36</w:t>
            </w:r>
          </w:p>
        </w:tc>
        <w:tc>
          <w:tcPr>
            <w:tcW w:w="7101"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09" w:type="dxa"/>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tbl>
      <w:tblPr>
        <w:tblStyle w:val="11"/>
        <w:tblW w:w="11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1096"/>
        <w:gridCol w:w="1501"/>
        <w:gridCol w:w="1448"/>
        <w:gridCol w:w="900"/>
        <w:gridCol w:w="1065"/>
        <w:gridCol w:w="102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97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30"/>
                <w:szCs w:val="30"/>
                <w:u w:val="none"/>
                <w:lang w:val="en-US" w:eastAsia="zh-CN" w:bidi="ar"/>
              </w:rPr>
            </w:pPr>
          </w:p>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single" w:color="000000" w:themeColor="text1"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单位：湖南省纤维检测研究院</w:t>
            </w:r>
          </w:p>
        </w:tc>
        <w:tc>
          <w:tcPr>
            <w:tcW w:w="0" w:type="auto"/>
            <w:tcBorders>
              <w:top w:val="nil"/>
              <w:left w:val="nil"/>
              <w:bottom w:val="single" w:color="000000" w:themeColor="text1"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98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themeColor="text1"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05"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说明：我单位没有政府性基金预算财政拨款收入，也没有使用政府性基金安排的支出，故本表无数据。</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tbl>
      <w:tblPr>
        <w:tblStyle w:val="11"/>
        <w:tblW w:w="124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330"/>
        <w:gridCol w:w="330"/>
        <w:gridCol w:w="2425"/>
        <w:gridCol w:w="2341"/>
        <w:gridCol w:w="2524"/>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81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90"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c>
          <w:tcPr>
            <w:tcW w:w="16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single" w:color="000000" w:themeColor="text1"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单位：湖南省纤维检测研究院</w:t>
            </w:r>
          </w:p>
        </w:tc>
        <w:tc>
          <w:tcPr>
            <w:tcW w:w="0" w:type="auto"/>
            <w:tcBorders>
              <w:top w:val="nil"/>
              <w:left w:val="nil"/>
              <w:bottom w:val="single" w:color="000000" w:themeColor="text1"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6"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6"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6"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000000" w:themeColor="text1"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446"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说明：我单位没有国有资本经营预算财政拨款收入，也没有使用国有资本经营预算财政拨款安排的支出，故本表无数据。</w:t>
            </w:r>
          </w:p>
        </w:tc>
      </w:tr>
    </w:tbl>
    <w:p>
      <w:pPr>
        <w:widowControl/>
        <w:jc w:val="center"/>
        <w:rPr>
          <w:rFonts w:ascii="Times New Roman" w:hAnsi="Times New Roman" w:eastAsia="方正小标宋_GBK" w:cs="Times New Roman"/>
          <w:color w:val="000000"/>
          <w:kern w:val="0"/>
          <w:sz w:val="36"/>
          <w:szCs w:val="36"/>
        </w:rPr>
      </w:pPr>
    </w:p>
    <w:p>
      <w:pPr>
        <w:pStyle w:val="9"/>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tbl>
      <w:tblPr>
        <w:tblStyle w:val="11"/>
        <w:tblW w:w="132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1125"/>
        <w:gridCol w:w="860"/>
        <w:gridCol w:w="684"/>
        <w:gridCol w:w="917"/>
        <w:gridCol w:w="860"/>
        <w:gridCol w:w="824"/>
        <w:gridCol w:w="1125"/>
        <w:gridCol w:w="845"/>
        <w:gridCol w:w="686"/>
        <w:gridCol w:w="917"/>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75"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44"/>
                <w:szCs w:val="44"/>
                <w:u w:val="none"/>
                <w:lang w:val="en-US" w:eastAsia="zh-CN" w:bidi="ar"/>
              </w:rPr>
            </w:pPr>
          </w:p>
          <w:p>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单位：湖南省纤维检测研究院</w:t>
            </w: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65"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510"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275" w:type="dxa"/>
            <w:gridSpan w:val="12"/>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2024年度</w:t>
      </w:r>
      <w:r>
        <w:rPr>
          <w:rFonts w:hint="eastAsia" w:ascii="Times New Roman" w:hAnsi="Times New Roman" w:eastAsia="方正小标宋_GBK" w:cs="Times New Roman"/>
          <w:sz w:val="52"/>
          <w:szCs w:val="52"/>
          <w:lang w:eastAsia="zh-CN"/>
        </w:rPr>
        <w:t>单位</w:t>
      </w:r>
      <w:r>
        <w:rPr>
          <w:rFonts w:ascii="Times New Roman" w:hAnsi="Times New Roman" w:eastAsia="方正小标宋_GBK" w:cs="Times New Roman"/>
          <w:sz w:val="52"/>
          <w:szCs w:val="52"/>
        </w:rPr>
        <w:t>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keepNext w:val="0"/>
        <w:keepLines w:val="0"/>
        <w:pageBreakBefore w:val="0"/>
        <w:widowControl w:val="0"/>
        <w:kinsoku/>
        <w:wordWrap/>
        <w:overflowPunct/>
        <w:topLinePunct w:val="0"/>
        <w:autoSpaceDE w:val="0"/>
        <w:autoSpaceDN w:val="0"/>
        <w:bidi w:val="0"/>
        <w:snapToGrid w:val="0"/>
        <w:spacing w:line="500" w:lineRule="exact"/>
        <w:ind w:firstLine="560" w:firstLineChars="200"/>
        <w:textAlignment w:val="auto"/>
        <w:rPr>
          <w:rFonts w:hint="default" w:ascii="仿宋" w:hAnsi="仿宋" w:eastAsia="仿宋" w:cs="仿宋"/>
          <w:color w:val="000000"/>
          <w:kern w:val="0"/>
          <w:sz w:val="28"/>
          <w:szCs w:val="28"/>
          <w:highlight w:val="none"/>
          <w:lang w:val="en-US"/>
        </w:rPr>
      </w:pPr>
      <w:r>
        <w:rPr>
          <w:rFonts w:hint="eastAsia" w:ascii="仿宋" w:hAnsi="仿宋" w:eastAsia="仿宋" w:cs="仿宋"/>
          <w:color w:val="000000"/>
          <w:kern w:val="0"/>
          <w:sz w:val="28"/>
          <w:szCs w:val="28"/>
          <w:highlight w:val="none"/>
          <w:lang w:val="en-US" w:eastAsia="zh-CN"/>
        </w:rPr>
        <w:t>2024年度</w:t>
      </w:r>
      <w:r>
        <w:rPr>
          <w:rFonts w:hint="eastAsia" w:ascii="仿宋" w:hAnsi="仿宋" w:eastAsia="仿宋" w:cs="仿宋"/>
          <w:color w:val="000000"/>
          <w:kern w:val="0"/>
          <w:sz w:val="28"/>
          <w:szCs w:val="28"/>
          <w:highlight w:val="none"/>
        </w:rPr>
        <w:t>收</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支总计2156.79万元。与上年相比，减少148.89万元</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减少6.46%，主要是因为今年有人员退休导致人员比去年有所减少，</w:t>
      </w:r>
      <w:r>
        <w:rPr>
          <w:rFonts w:hint="eastAsia" w:ascii="仿宋" w:hAnsi="仿宋" w:eastAsia="仿宋" w:cs="仿宋"/>
          <w:color w:val="000000"/>
          <w:kern w:val="0"/>
          <w:sz w:val="28"/>
          <w:szCs w:val="28"/>
          <w:highlight w:val="none"/>
        </w:rPr>
        <w:t>年初预算</w:t>
      </w:r>
      <w:r>
        <w:rPr>
          <w:rFonts w:hint="eastAsia" w:ascii="仿宋" w:hAnsi="仿宋" w:eastAsia="仿宋" w:cs="仿宋"/>
          <w:color w:val="000000"/>
          <w:kern w:val="0"/>
          <w:sz w:val="28"/>
          <w:szCs w:val="28"/>
          <w:highlight w:val="none"/>
          <w:lang w:val="en-US" w:eastAsia="zh-CN"/>
        </w:rPr>
        <w:t>减少</w:t>
      </w:r>
      <w:r>
        <w:rPr>
          <w:rFonts w:hint="eastAsia" w:ascii="仿宋" w:hAnsi="仿宋" w:eastAsia="仿宋" w:cs="仿宋"/>
          <w:color w:val="000000"/>
          <w:kern w:val="0"/>
          <w:sz w:val="28"/>
          <w:szCs w:val="28"/>
          <w:highlight w:val="none"/>
        </w:rPr>
        <w:t>，财政收入</w:t>
      </w:r>
      <w:r>
        <w:rPr>
          <w:rFonts w:hint="eastAsia" w:ascii="仿宋" w:hAnsi="仿宋" w:eastAsia="仿宋" w:cs="仿宋"/>
          <w:color w:val="000000"/>
          <w:kern w:val="0"/>
          <w:sz w:val="28"/>
          <w:szCs w:val="28"/>
          <w:highlight w:val="none"/>
          <w:lang w:val="en-US" w:eastAsia="zh-CN"/>
        </w:rPr>
        <w:t>减少，相应的开支也有所减少。</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keepNext w:val="0"/>
        <w:keepLines w:val="0"/>
        <w:pageBreakBefore w:val="0"/>
        <w:widowControl w:val="0"/>
        <w:kinsoku/>
        <w:wordWrap/>
        <w:overflowPunct/>
        <w:topLinePunct w:val="0"/>
        <w:autoSpaceDE w:val="0"/>
        <w:autoSpaceDN w:val="0"/>
        <w:bidi w:val="0"/>
        <w:snapToGrid w:val="0"/>
        <w:spacing w:line="500" w:lineRule="exact"/>
        <w:ind w:firstLine="560" w:firstLineChars="200"/>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2024年度收入合计1704.5万元，其中：财政拨款收入1683.24万元，占98.75%；其他收入21.26万元，占1.25%；上级补助收入0万元，占0%；事业收入0万元，占0%；经营收入0万元，占0%；附属单位上缴收入0万元，占0%。</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keepNext w:val="0"/>
        <w:keepLines w:val="0"/>
        <w:pageBreakBefore w:val="0"/>
        <w:widowControl w:val="0"/>
        <w:kinsoku/>
        <w:wordWrap/>
        <w:overflowPunct w:val="0"/>
        <w:topLinePunct w:val="0"/>
        <w:autoSpaceDE w:val="0"/>
        <w:autoSpaceDN w:val="0"/>
        <w:bidi w:val="0"/>
        <w:spacing w:line="500" w:lineRule="exact"/>
        <w:ind w:firstLine="560" w:firstLineChars="200"/>
        <w:jc w:val="both"/>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2024年度支出合计1910.46万元，其中：基本支出1054.97万元，占55.22%；项目支出855.49万元，占44.78%；上缴上级支出0万元，占0%；经营支出0万元，占0%；对附属单位补助支出0万元，占0%。</w:t>
      </w:r>
    </w:p>
    <w:p>
      <w:pPr>
        <w:pStyle w:val="15"/>
        <w:keepNext w:val="0"/>
        <w:keepLines w:val="0"/>
        <w:pageBreakBefore w:val="0"/>
        <w:widowControl w:val="0"/>
        <w:kinsoku/>
        <w:wordWrap/>
        <w:overflowPunct w:val="0"/>
        <w:topLinePunct w:val="0"/>
        <w:autoSpaceDE w:val="0"/>
        <w:autoSpaceDN w:val="0"/>
        <w:bidi w:val="0"/>
        <w:spacing w:line="5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keepNext w:val="0"/>
        <w:keepLines w:val="0"/>
        <w:pageBreakBefore w:val="0"/>
        <w:widowControl w:val="0"/>
        <w:kinsoku/>
        <w:wordWrap/>
        <w:overflowPunct/>
        <w:topLinePunct w:val="0"/>
        <w:autoSpaceDE w:val="0"/>
        <w:autoSpaceDN w:val="0"/>
        <w:bidi w:val="0"/>
        <w:snapToGrid/>
        <w:spacing w:line="500" w:lineRule="exac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kern w:val="0"/>
          <w:sz w:val="28"/>
          <w:szCs w:val="28"/>
          <w:highlight w:val="none"/>
          <w:lang w:val="en-US" w:eastAsia="zh-CN" w:bidi="ar-SA"/>
        </w:rPr>
        <w:t>2024年度财政拨款</w:t>
      </w:r>
      <w:r>
        <w:rPr>
          <w:rFonts w:hint="eastAsia" w:ascii="仿宋" w:hAnsi="仿宋" w:eastAsia="仿宋" w:cs="仿宋"/>
          <w:color w:val="000000"/>
          <w:kern w:val="0"/>
          <w:sz w:val="28"/>
          <w:szCs w:val="28"/>
          <w:highlight w:val="none"/>
        </w:rPr>
        <w:t>收</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支总计2125.18万元</w:t>
      </w:r>
      <w:r>
        <w:rPr>
          <w:rFonts w:hint="eastAsia" w:ascii="仿宋" w:hAnsi="仿宋" w:eastAsia="仿宋" w:cs="仿宋"/>
          <w:color w:val="000000"/>
          <w:kern w:val="0"/>
          <w:sz w:val="28"/>
          <w:szCs w:val="28"/>
          <w:highlight w:val="none"/>
          <w:lang w:val="en-US" w:eastAsia="zh-CN" w:bidi="ar-SA"/>
        </w:rPr>
        <w:t>，</w:t>
      </w:r>
      <w:r>
        <w:rPr>
          <w:rFonts w:hint="eastAsia" w:ascii="仿宋" w:hAnsi="仿宋" w:eastAsia="仿宋" w:cs="仿宋"/>
          <w:color w:val="000000"/>
          <w:kern w:val="0"/>
          <w:sz w:val="28"/>
          <w:szCs w:val="28"/>
          <w:highlight w:val="none"/>
          <w:lang w:val="en-US" w:eastAsia="zh-CN"/>
        </w:rPr>
        <w:t>与上年相比，增加36.15万元</w:t>
      </w:r>
      <w:r>
        <w:rPr>
          <w:rFonts w:hint="eastAsia" w:ascii="仿宋" w:hAnsi="仿宋" w:eastAsia="仿宋" w:cs="仿宋"/>
          <w:color w:val="000000"/>
          <w:kern w:val="0"/>
          <w:sz w:val="28"/>
          <w:szCs w:val="28"/>
          <w:highlight w:val="none"/>
          <w:lang w:eastAsia="zh-CN"/>
        </w:rPr>
        <w:t>，增加</w:t>
      </w:r>
      <w:r>
        <w:rPr>
          <w:rFonts w:hint="eastAsia" w:ascii="仿宋" w:hAnsi="仿宋" w:eastAsia="仿宋" w:cs="仿宋"/>
          <w:color w:val="000000"/>
          <w:kern w:val="0"/>
          <w:sz w:val="28"/>
          <w:szCs w:val="28"/>
          <w:highlight w:val="none"/>
          <w:lang w:val="en-US" w:eastAsia="zh-CN"/>
        </w:rPr>
        <w:t>1.73%</w:t>
      </w:r>
      <w:r>
        <w:rPr>
          <w:rFonts w:hint="eastAsia" w:ascii="仿宋" w:hAnsi="仿宋" w:eastAsia="仿宋" w:cs="仿宋"/>
          <w:color w:val="000000"/>
          <w:kern w:val="0"/>
          <w:sz w:val="28"/>
          <w:szCs w:val="28"/>
          <w:highlight w:val="none"/>
          <w:lang w:val="en-US" w:eastAsia="zh-CN" w:bidi="ar-SA"/>
        </w:rPr>
        <w:t>，主要是因为</w:t>
      </w:r>
      <w:r>
        <w:rPr>
          <w:rFonts w:hint="eastAsia" w:ascii="仿宋" w:hAnsi="仿宋" w:eastAsia="仿宋" w:cs="仿宋"/>
          <w:color w:val="000000"/>
          <w:kern w:val="0"/>
          <w:sz w:val="28"/>
          <w:szCs w:val="28"/>
          <w:highlight w:val="none"/>
          <w:lang w:val="en-US" w:eastAsia="zh-CN"/>
        </w:rPr>
        <w:t>棉花公检任务比去年有所增加，相应的开支也有所增加</w:t>
      </w:r>
      <w:r>
        <w:rPr>
          <w:rFonts w:hint="eastAsia" w:ascii="仿宋" w:hAnsi="仿宋" w:eastAsia="仿宋" w:cs="仿宋"/>
          <w:color w:val="000000"/>
          <w:kern w:val="0"/>
          <w:sz w:val="28"/>
          <w:szCs w:val="28"/>
          <w:highlight w:val="none"/>
          <w:lang w:val="en-US" w:eastAsia="zh-CN" w:bidi="ar-SA"/>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2024年度财政拨款支出1893.13万元，占本年支出合计的89.08%，与上年相比，财政拨款支出增加251.23万元，增加15.3%，主要是因为</w:t>
      </w:r>
      <w:r>
        <w:rPr>
          <w:rFonts w:hint="eastAsia" w:ascii="仿宋" w:hAnsi="仿宋" w:eastAsia="仿宋" w:cs="仿宋"/>
          <w:color w:val="000000"/>
          <w:kern w:val="0"/>
          <w:sz w:val="28"/>
          <w:szCs w:val="28"/>
          <w:highlight w:val="none"/>
          <w:lang w:val="en-US" w:eastAsia="zh-CN"/>
        </w:rPr>
        <w:t>今年棉花公检任务比去年有所增加；社会保障支出增加</w:t>
      </w:r>
      <w:r>
        <w:rPr>
          <w:rFonts w:hint="eastAsia" w:ascii="仿宋" w:hAnsi="仿宋" w:eastAsia="仿宋" w:cs="仿宋"/>
          <w:color w:val="000000"/>
          <w:kern w:val="0"/>
          <w:sz w:val="28"/>
          <w:szCs w:val="28"/>
          <w:highlight w:val="none"/>
          <w:lang w:val="en-US" w:eastAsia="zh-CN" w:bidi="ar-SA"/>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2024年度财政拨款支出1893.13万元，主要用于以下方面：一般公共服务（类）支出1554.15万元，占82.09%；教育（类）支出12.43万元，占0.66%；社会保障和就业（类）支出162.22万元，占8.57%；卫生健康（类）支出100.93万元，占5.33%；住房保障（类）支出63.4万元，占3.35%。</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2024年度财政拨款支出年初预算数为1707.38万元，支出决算数为1893.13万元，完成年初预算的110.88%，其中：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1、一般公共服务支出（类）市场监督管理事务（款）行政运行（项）。年初预算为576.24万元，支出决算为728.42万元，完成年初预算的126.41%，决算数大于年初预算数的主要原因是：预算执行到了年底，行政运行存在经费不够的情况，调整了指标到行政运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2、一般公共服务支出（类）市场监督管理事务（款）市场主体管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理（项）。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年初预算为81.89万元，支出决算为70.17万元，完成年初预算的85.69%，决算数小于年初预算数的主要原因是：预算执行到了年底，行政运行存在经费不够的情况，从本项中调整了指标到行政运行。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3、一般公共服务支出（类）市场监督管理事务（款）质量基础（项）。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年初预算为649.05万元，支出决算为748.56万元，完成年初预算的115.33%，决算数大于年初预算数的主要原因是：用了去年棉花公检经费，所以决算数大于预算数。</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4、一般公共服务支出（类）市场监督管理事务（款）其他市场监督管理事务（项）。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年初预算为33万元，支出决算为7万元，完成年初预算的21.21%，决算数小于年初预算数的主要原因是：检验检测能力提升、计量监管经费（棉花水分测定仪计量检定）、标准化三项指标年中资金压减，所以决算数小于年初预算数。</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630" w:leftChars="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5、教育支出（类）进修及培训（款）培训支出（项）。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年初预算为25万元，支出决算为12.43万元，完成年初预算的49.72%，决算数小于年初预算数的主要原因是：预算执行到了年底，行政运行存在党建培训经费因工作原因未开展，所以决算数小于年初预算数。</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630" w:leftChars="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社会保障和就业支出（类）行政事业单位养老支出（款）行政</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单位离退休（项）。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年初预算为92.66万元，支出决算为92.16万元，完成年初预算的99.46%，决算数小于年初预算数的主要原因是：有一位退休人员，退休手续在年底未办理完毕，故补贴未发放有结余，年底指标已调整。</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630" w:leftChars="0" w:firstLine="0" w:firstLineChars="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社会保障和就业支出（类）行政事业单位养老支出（款）机关</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事业单位基本养老保险缴费支出（项）。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年初预算为68万元，支出决算为68万元，完成年初预算的100%，决算数等于年初预算数的主要原因是收支基本持平。</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630" w:leftChars="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8社会保障和就业支出（类）其他社会保障和就业支出（款）其他</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社会保障和就业支出（项）。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年初预算为2.06万元，支出决算为2.06万元，完成年初预算的100%，决算数等于年初预算数的主要原因是收支基本持平。</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630" w:leftChars="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9、卫生健康支出（类）行政事业单位医疗（款）行政单位医疗（项）。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年初预算为59.62万元，支出决算为57.07万元，完成年初预算的95.72%，决算数小于年初预算数的主要原因是：年底有一位退休人员，退休不用缴纳医保，故医疗保险未用完，年底指标已调整。</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00" w:lineRule="exact"/>
        <w:ind w:left="630" w:leftChars="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卫生健康支出（类）行政事业单位医疗（款）公务员医疗补助</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年初预算为47.36万元，支出决算为43.86万元，完成年初预算的92.61%，决算数小于年初预算数的主要原因是：年底有一位退休人员，退休不用缴纳，故未用完，年底指标已调整。</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630" w:leftChars="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11、住房保障支出（类）住房改革支出（款）住房公积金（项）。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年初预算为72.50万元，支出决算为63.40万元，完成年初预算的87.45%，决算数小于年初预算数的主要原因是：年底有一位退休人员，退休不用缴纳，故未用完，年底指标已调整。</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2024年度财政拨款基本支出1054.97万元，其中：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人员经费846.36万元，占基本支出的80.23%,主要包括基本工资、津贴补贴、奖金、伙食补助费、机关事业单位基本养老保险缴费、职工基本医疗保险缴费、公务员医疗补助缴费、其他社会保障缴费、住房公积金、退休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公用经费208.61万元，占基本支出的19.77%，主要包括办公费、印刷费、邮电费、差旅费、维修（护）费、培训费、专用材料费、委托业务费、公务接待费、工会经费、公务用车运行维护费、其他交通费用、其他商品和服务支出。</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840" w:firstLineChars="3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2024年度“三公”经费财政拨款支出预算为10万元，支出决算为8.69万元，完成预算的86.9%；与上年相比减少36.5万元，降低78.49%。决算数小于预算数的主要原因是：今年的公务接待有所减少。决算数小于上年数的主要原因是今年没有购置公务用车，今年的接待费预算也比去年减少，开支也比去年少。</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1、因公出国（境）费支出预算为0万元，支出决算为0万元，完成预算的100%；与上年相比增加（减少）0万元，增长（降低）0%。决算数大于（小于）预算数的主要原因是无此预算安排。决算数大于（小于）上年数的主要原因是无此预算安排。2024年安排因公出国（境）团组0个，累计0人次，无具体开支内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 xml:space="preserve">2、公务用车购置费及运行维护费支出决算为8万元，支出决算为8万元，完成预算的100%；与上年相比减少35.5万元，降低81.61%。其中：    </w:t>
      </w:r>
    </w:p>
    <w:p>
      <w:pPr>
        <w:pStyle w:val="15"/>
        <w:overflowPunct w:val="0"/>
        <w:autoSpaceDE/>
        <w:autoSpaceDN/>
        <w:spacing w:line="600" w:lineRule="exact"/>
        <w:ind w:firstLine="560" w:firstLineChars="200"/>
        <w:jc w:val="both"/>
        <w:rPr>
          <w:rFonts w:ascii="Times New Roman" w:hAnsi="Times New Roman" w:eastAsia="仿宋_GB2312" w:cs="Times New Roman"/>
          <w:sz w:val="32"/>
          <w:szCs w:val="32"/>
        </w:rPr>
      </w:pPr>
      <w:r>
        <w:rPr>
          <w:rFonts w:hint="eastAsia" w:ascii="仿宋" w:hAnsi="仿宋" w:eastAsia="仿宋" w:cs="仿宋"/>
          <w:color w:val="000000"/>
          <w:kern w:val="0"/>
          <w:sz w:val="28"/>
          <w:szCs w:val="28"/>
          <w:highlight w:val="none"/>
          <w:lang w:val="en-US" w:eastAsia="zh-CN" w:bidi="ar-SA"/>
        </w:rPr>
        <w:t>公务用车购置费预算支出为0万元，支出决算为0万元，完成预算的100%；与上年相比减少27.5万元，降低100%。决算数等于预算数的主要原因是无此预算安排，决算数小于上年数的主要原因是今年没有买车的计划。湖南省纤维检测研究院本级更新公务用车0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公务用车运行维护费支出预算为8万元，支出决算为8万元，主要是公务用车的燃油费、保险费、维修维护费、过桥过路费、司机节油奖励等支出，完成预算的100%；与上年相比减少8万元，降低50%。决算数等于预算数的主要原因是按计划进行开支。决算数小于上年数的主要原因是今年压缩开支。截至2024年12月31日，我单位开支财政拨款的公务用车保有量为2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3、公务接待费支出预算为2万元，支出决算为0.69万元，完成预算的34.5%；与上年相比都是2万元，未增加也未减少。决算数小于预算数的主要原因是接待变少了。决算数大于上年数的主要原因是接待人数有所增加。2024年度共接待来访团组8个、来宾49人次。其中，国内公务接待来访团组8个、49人次，无国外接待批次人数。主要是各市州纤检机构、其他省份地区的纤检机构、高等院校来我单位调研、学习交流等公务活动发生的接待支出。</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560" w:firstLineChars="200"/>
        <w:jc w:val="both"/>
        <w:rPr>
          <w:rFonts w:ascii="Times New Roman" w:hAnsi="Times New Roman" w:eastAsia="仿宋_GB2312" w:cs="Times New Roman"/>
          <w:sz w:val="32"/>
          <w:szCs w:val="32"/>
        </w:rPr>
      </w:pPr>
      <w:r>
        <w:rPr>
          <w:rFonts w:hint="eastAsia" w:ascii="仿宋" w:hAnsi="仿宋" w:eastAsia="仿宋" w:cs="仿宋"/>
          <w:color w:val="000000"/>
          <w:kern w:val="0"/>
          <w:sz w:val="28"/>
          <w:szCs w:val="28"/>
          <w:highlight w:val="none"/>
          <w:lang w:val="en-US" w:eastAsia="zh-CN" w:bidi="ar-SA"/>
        </w:rPr>
        <w:t>2024年度本单位无政府性基金收支。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20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bidi="ar-SA"/>
        </w:rPr>
        <w:t>本院2024年度机关运行经费支出1910.46万元，比上年决算数增加62.25万元，增长3.37%。主要原因是：</w:t>
      </w:r>
      <w:r>
        <w:rPr>
          <w:rFonts w:hint="eastAsia" w:ascii="仿宋" w:hAnsi="仿宋" w:eastAsia="仿宋" w:cs="仿宋"/>
          <w:color w:val="000000"/>
          <w:kern w:val="0"/>
          <w:sz w:val="28"/>
          <w:szCs w:val="28"/>
          <w:highlight w:val="none"/>
          <w:lang w:val="en-US" w:eastAsia="zh-CN"/>
        </w:rPr>
        <w:t>社会保障支出增加，</w:t>
      </w:r>
      <w:r>
        <w:rPr>
          <w:rFonts w:hint="eastAsia" w:ascii="仿宋" w:hAnsi="仿宋" w:eastAsia="仿宋" w:cs="仿宋"/>
          <w:color w:val="000000"/>
          <w:kern w:val="0"/>
          <w:sz w:val="28"/>
          <w:szCs w:val="28"/>
          <w:highlight w:val="none"/>
          <w:lang w:val="en-US" w:eastAsia="zh-CN" w:bidi="ar-SA"/>
        </w:rPr>
        <w:t>导致支出也增加</w:t>
      </w:r>
      <w:r>
        <w:rPr>
          <w:rFonts w:hint="eastAsia" w:ascii="仿宋" w:hAnsi="仿宋" w:eastAsia="仿宋" w:cs="仿宋"/>
          <w:color w:val="000000"/>
          <w:kern w:val="0"/>
          <w:sz w:val="28"/>
          <w:szCs w:val="28"/>
          <w:highlight w:val="none"/>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bidi="ar-SA"/>
        </w:rPr>
        <w:t>2024年我院开支会议费0万元，未召开会议；开支培训费12.43万元，用于开展内部人员送外培训和标准法规培训，人数191人，内容为相关检验检测业务培训、标准法规培训；未举办节庆、晚会、论坛、赛事活动，开支0万元</w:t>
      </w:r>
      <w:r>
        <w:rPr>
          <w:rFonts w:hint="eastAsia" w:ascii="仿宋" w:hAnsi="仿宋" w:eastAsia="仿宋" w:cs="仿宋"/>
          <w:color w:val="000000"/>
          <w:kern w:val="0"/>
          <w:sz w:val="28"/>
          <w:szCs w:val="28"/>
          <w:highlight w:val="none"/>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本院2024年度未采购政府限额标准以上的货物、服务、工程，政府采购支出总额0万元。其中：政府采购工程支出0万元，占比0%；政府采购货物支出0万元，占比0%；政府采购服务支出0万元，占比0%。授予中小企业合同金额0万元，占政府采购支出总额的0%，其中：授予小微企业合同金额0万元，占授予中小企业合同金额的0%；货物采购授予中小企业合同金额为0万元，占政府采购支出金额的0%，工程采购授予中小企业合同金额为0元，占工程支出金额的0%，服务采购金额0万元，授予中小企业合同金额占服务支出金额的0%。</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截至2024年12月31日，本单位共有车辆2辆，其中，副部（省）级及以上领导用车0辆、主要负责人用车0辆、机要通信用车0辆、应急保障用车0辆、执法执勤用车0辆、特种专业技术用车0辆、离退休干部服务用车0辆、其他用车2辆，其他用车主要是单位正常外出抽样业务，外出检验检测业务等；单位价值100万元以上设备（不含车辆）6台（套）</w:t>
      </w:r>
      <w:r>
        <w:rPr>
          <w:rFonts w:hint="eastAsia" w:ascii="仿宋" w:hAnsi="仿宋" w:eastAsia="仿宋" w:cs="仿宋"/>
          <w:color w:val="auto"/>
          <w:kern w:val="0"/>
          <w:sz w:val="28"/>
          <w:szCs w:val="28"/>
          <w:highlight w:val="none"/>
          <w:lang w:val="en-US" w:eastAsia="zh-CN" w:bidi="ar-SA"/>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 w:cs="仿宋"/>
          <w:color w:val="000000"/>
          <w:kern w:val="0"/>
          <w:sz w:val="28"/>
          <w:szCs w:val="28"/>
          <w:highlight w:val="none"/>
          <w:lang w:val="en-US" w:eastAsia="zh-CN" w:bidi="ar-SA"/>
        </w:rPr>
      </w:pPr>
      <w:r>
        <w:rPr>
          <w:rFonts w:ascii="Times New Roman" w:hAnsi="Times New Roman" w:eastAsia="楷体_GB2312" w:cs="Times New Roman"/>
          <w:b/>
          <w:bCs/>
          <w:sz w:val="32"/>
          <w:szCs w:val="32"/>
        </w:rPr>
        <w:t>（一）绩效评价工作开展情况。</w:t>
      </w:r>
      <w:r>
        <w:rPr>
          <w:rFonts w:hint="eastAsia" w:ascii="仿宋" w:hAnsi="仿宋" w:eastAsia="仿宋" w:cs="仿宋"/>
          <w:color w:val="000000"/>
          <w:kern w:val="0"/>
          <w:sz w:val="28"/>
          <w:szCs w:val="28"/>
          <w:highlight w:val="none"/>
          <w:lang w:val="en-US" w:eastAsia="zh-CN" w:bidi="ar-SA"/>
        </w:rPr>
        <w:t>零基预算改革让我院预算编制更科学化：一是打破“基数+增长”模式，以检验检测职能为核心，围绕纤维质量安全监管、标准制修订、实验室能力建设等重点工作，逐项论证项目必要性、合理性，优化资金分配。二是资源整合效率提升：重点保障纤维质量监督抽查、仪器设备更新、科研攻关等关键领域，压缩非必要行政开支。三是动态调整机制：根据突发任务（如应急抽检、新纤维标准出台）灵活调整预算，增强财政资金应对行业变化的适配性。</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预算支出的绩效目标全部如期完成。按照省局2024年第一批、第二批、第四批、第五批监督抽查计划，开展了学生服、学生床上用品、棉胎、婴幼儿及儿童服装、棉花、羽绒服装、床上用品等7类产品监督抽查，共抽查422批次产品，不断提升质量监管水平，规范监督抽查程序，守牢筑牢产品质量安全底线；《针刺平面毡》行业标准顺利完成；2024年承担的棉花公检任务为：质量检验61342吨，数量检验34258吨，如期全部完成。</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 w:cs="仿宋"/>
          <w:color w:val="000000"/>
          <w:kern w:val="0"/>
          <w:sz w:val="28"/>
          <w:szCs w:val="28"/>
          <w:highlight w:val="none"/>
          <w:lang w:val="en-US" w:eastAsia="zh-CN" w:bidi="ar-SA"/>
        </w:rPr>
      </w:pPr>
      <w:r>
        <w:rPr>
          <w:rFonts w:ascii="Times New Roman" w:hAnsi="Times New Roman" w:eastAsia="楷体_GB2312" w:cs="Times New Roman"/>
          <w:b/>
          <w:bCs/>
          <w:sz w:val="32"/>
          <w:szCs w:val="32"/>
        </w:rPr>
        <w:t>（二）绩效评价结果。</w:t>
      </w:r>
      <w:r>
        <w:rPr>
          <w:rFonts w:hint="eastAsia" w:ascii="仿宋" w:hAnsi="仿宋" w:eastAsia="仿宋" w:cs="仿宋"/>
          <w:color w:val="000000"/>
          <w:kern w:val="0"/>
          <w:sz w:val="28"/>
          <w:szCs w:val="28"/>
          <w:highlight w:val="none"/>
          <w:lang w:val="en-US" w:eastAsia="zh-CN" w:bidi="ar-SA"/>
        </w:rPr>
        <w:t>2024年度整体支出全年预算数1708.12万元，执行数2156.79万元，完成预算的126.27%，绩效自评得分100分，评价等级为“优秀”。绩效目标完成情况：2024年度基本支出指标金额总计960.44万元，含年初预算指标925.44万元，追加人员经费指标35万元。无上年度结余基本经费指标。全年合计支出959.13万元，其中支出人员经费898.91万元，日常公用经费60.22万元。基本支出总结余1.31万元，结余全为公务接待费。基本支出指标金额支付执行率99.86%。产商品质量抽查与风险监测项目经费2024年年初预算70元，上年结转0.89万元。应到位70.89万元，实际到位70.89万元。实际支付70.83万元，支付执行率99.92%。其中，差旅费16.5万元，培训应到位70万元，实际到位70万元，费2.06万元，委托业务费15.15万元，电费1.33万元，劳务费5.85万元，维修（护）费16万元，邮电费2万元，专用材料费11.94万元。</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标准化。该项目经费2024年预算3万元，应到位3万元，实际到位3万元。实际支付3万元，支付执行率100%。为其他商品服务支出3万元。</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计量监管经费。该项目经费2024年预算4万元，应到位4万元，实际到位4万元。实际支付4万元，支付执行率100%。具体为：其他交通费用0.69万元、劳务费1.5万元、差旅费1.81万元。</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纤维公证检验经费。2024年棉花公检经费下达540万元，2023年结转441.05万元，2024年实际支出750.37万元，结转下年230.68万元，预算执行率76.49%。支出具体为：办公费支出16.29万元，占比2.17%；办公设备购置支出7.07万元，占比0.94%；培训费支出1.81万元，占比0.24%；取暖费支出5万元，占比0.67%；电费支出10万元，占比1.33%；维修（护）费支出38.77万元，占比5.17%；物业管理费支出12.16万元，占比1.62%；差旅费支出167.77万元，占比22.36%；印刷费支出0.17万元，占比0.02%；邮电费支出6.13万元，占比0.82%；其他交通费支出3.87万元，占比0.52%；专用材料费支出9.02万元，占比1.20%；劳务费支出382.98万元，占比51.39%；专用设备购置支出53.06万元，占比7.07%；租赁费支出4.42万元，占比0.59%；意外保险费支出4.42万元，占比0.59%；委托业务费支出18.17万元，占比2.42%；咨询费1.1万元，占比0.15%；无形资产购置1.58万元，占比0.21%；其他支出6.58万元，占比0.88%。</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业务工作经费。该项目是年中追加指标，用于弥补我院日常行政运行中公用经费的不足。该项目经费应到位90万元，实际到位90万元。实际支付90万元，支付执行率100%。具体为：办公费8万元、办公设备购置11.6万元、差旅费2万元、电费24万元、工会经费8万元、劳务费12.04万元、培训费8.96万元、水费8万元、维修（护）费5.4万元、印刷费2万元。</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2023年度省直机关单位绩效清算经费。该项目是年中追加指标，用于发放上一年度省政府绩效考核奖金。该项目经费应到位15.8万元，实际到位15.8万元。实际支付15.8万元，支付执行率100%。</w:t>
      </w:r>
    </w:p>
    <w:p>
      <w:pPr>
        <w:keepNext w:val="0"/>
        <w:keepLines w:val="0"/>
        <w:pageBreakBefore w:val="0"/>
        <w:widowControl/>
        <w:numPr>
          <w:ilvl w:val="0"/>
          <w:numId w:val="3"/>
        </w:numPr>
        <w:kinsoku/>
        <w:wordWrap/>
        <w:overflowPunct/>
        <w:topLinePunct w:val="0"/>
        <w:autoSpaceDE w:val="0"/>
        <w:autoSpaceDN w:val="0"/>
        <w:bidi w:val="0"/>
        <w:adjustRightInd w:val="0"/>
        <w:snapToGrid w:val="0"/>
        <w:spacing w:line="500" w:lineRule="exact"/>
        <w:textAlignment w:val="auto"/>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 xml:space="preserve"> 1.资产情况。我中心2024年底资产总额为4006.82万元，其中固定资产原值69.0.02万元，固定资产净值3588.85万元，无形资产原值38.72万元，无形资产净值17.56万元。</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2.财务管理。严格执行“无预算不支出”原则，严禁超预算或无预算支出，不得擅自改变预算资金支出用途。建立预算执行进度考核机制，实施预算执行进度通报和监督检查制度，促进预算资金均衡使用；按照预算和活动进度安排各项支出，资金的使用应严格执行国家规定的开支范围和标准，按照授权范围进行审批，据实列报各项费用。加强对专项资金的管理和监督，保证专款专用，严禁挤占、挪用专项资金；明确资产管理范围，根据相关规定对资产合理分类，明确各类资产的归口管理部门，规范资产管理业务流程，落实资产管理责任制度，使各项资产都有相关人员负责；不定期对本单位资产进行清查盘点，确保资产账、财务账、资产实物账账相符、账实相符。对账实不符的资产，除调账外应及时查明原因并予以处理；完善会计核算制度，强化会计监督，保证单位各项活动均符合国家法律法规和内部管理的有关规定，确保对外提供会计信息的真实性、准确性和完整性。</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3.政府采购。结合单位实际采购需求，提前充分理解采购相关文件精神，根据实际需求逐条逐项列出需要采购的货物名称、数量、单价等信息并准确录入采购系统，避免盲目、重复采购；严格按照批准的预算执行采购活动，无预算不采购，凡未编制政府采购预算的，处党委会研究同意外，均不能开展政府采购活动。涉及项目金额需要调整、追加、结转的，均需要按照预算管理权限进行；对于小额零星货物和服务，都是在政采云网站采购。</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仿宋" w:hAnsi="仿宋" w:eastAsia="仿宋" w:cs="仿宋"/>
          <w:color w:val="000000"/>
          <w:kern w:val="0"/>
          <w:sz w:val="28"/>
          <w:szCs w:val="28"/>
          <w:highlight w:val="none"/>
          <w:lang w:val="en-US" w:eastAsia="zh-CN" w:bidi="ar-SA"/>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0"/>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440" w:lineRule="exact"/>
        <w:ind w:left="0" w:right="0" w:firstLine="64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一、一般公共预算财政拨款：本级财政单位当年拨付的财政预算资金。</w:t>
      </w:r>
    </w:p>
    <w:p>
      <w:pPr>
        <w:pStyle w:val="10"/>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440" w:lineRule="exact"/>
        <w:ind w:left="0" w:right="0" w:firstLine="64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二、其他收入：预算单位在“财政拨款、事业收入、经营收入、上级补助收入、附属单位缴款收入”等之外取得的各项收入。</w:t>
      </w:r>
    </w:p>
    <w:p>
      <w:pPr>
        <w:pStyle w:val="10"/>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440" w:lineRule="exact"/>
        <w:ind w:left="0" w:right="0" w:firstLine="64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三、基本支出：是预算单位为保障其正常运转，完成日常工作任务所发生的支出，包括人员支出和日常公用支出。</w:t>
      </w:r>
    </w:p>
    <w:p>
      <w:pPr>
        <w:pStyle w:val="10"/>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440" w:lineRule="exact"/>
        <w:ind w:left="0" w:right="0" w:firstLine="64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四、项目支出：是预算单位为完成其特定的行政工作任务或事业发展目标所发生的支出。</w:t>
      </w:r>
    </w:p>
    <w:p>
      <w:pPr>
        <w:pStyle w:val="10"/>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440" w:lineRule="exact"/>
        <w:ind w:left="0" w:right="0" w:firstLine="640"/>
        <w:jc w:val="left"/>
        <w:textAlignment w:val="auto"/>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五、三公经费：政府单位用于财政拨款经费安排的因公出国（境）费用、公务用车购置及运行维护费用、公务接待费用。其中因公出国（境）费用反映单位公务出国（境）的住宿费、差旅费、伙食补助费、培训费等支出；公务用车购置及运行维护费用反映单位公务用车购置及维修费、燃料费、过路过桥费、保险费等支出；公务接待费反映单位按规定开支的各类公务接待（含外宾接待）支出。</w:t>
      </w:r>
    </w:p>
    <w:p>
      <w:pPr>
        <w:pStyle w:val="15"/>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
          <w:bCs/>
          <w:i/>
          <w:color w:val="auto"/>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六、机关运行经费：反映行政单位和参照公务员法管理事业单位履行一般行政管理职能、维持机关日常运转所必需的，用公共预算财政拨款开支的费用，包括办公及印刷费、水电费、邮电费、取暖费、交通费、差旅费、会议费、福利费、物业管理费、日常维修费、专用材料费、一般购置费等费用。</w:t>
      </w:r>
    </w:p>
    <w:p>
      <w:pPr>
        <w:pStyle w:val="15"/>
        <w:spacing w:line="600" w:lineRule="exact"/>
        <w:ind w:firstLine="640" w:firstLineChars="200"/>
        <w:rPr>
          <w:rFonts w:ascii="Times New Roman" w:hAnsi="Times New Roman" w:eastAsia="楷体_GB2312" w:cs="Times New Roman"/>
          <w:b/>
          <w:bCs/>
          <w:i/>
          <w:color w:val="auto"/>
          <w:sz w:val="32"/>
          <w:szCs w:val="3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autoSpaceDE/>
        <w:autoSpaceDN/>
        <w:spacing w:line="625" w:lineRule="exact"/>
        <w:ind w:left="0" w:leftChars="0" w:firstLine="0" w:firstLineChars="0"/>
        <w:jc w:val="both"/>
        <w:rPr>
          <w:rFonts w:hint="eastAsia" w:ascii="宋体" w:hAnsi="宋体" w:eastAsia="宋体" w:cs="宋体"/>
          <w:b/>
          <w:bCs/>
          <w:color w:val="auto"/>
          <w:sz w:val="44"/>
          <w:szCs w:val="44"/>
        </w:rPr>
      </w:pPr>
    </w:p>
    <w:p>
      <w:pPr>
        <w:autoSpaceDE/>
        <w:autoSpaceDN/>
        <w:spacing w:line="625" w:lineRule="exact"/>
        <w:ind w:left="0" w:leftChars="0" w:firstLine="0" w:firstLineChars="0"/>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rPr>
        <w:t>202</w:t>
      </w:r>
      <w:r>
        <w:rPr>
          <w:rFonts w:hint="eastAsia" w:ascii="宋体" w:hAnsi="宋体" w:eastAsia="宋体" w:cs="宋体"/>
          <w:b/>
          <w:bCs/>
          <w:color w:val="auto"/>
          <w:sz w:val="44"/>
          <w:szCs w:val="44"/>
          <w:lang w:val="en-US" w:eastAsia="zh-CN"/>
        </w:rPr>
        <w:t>4</w:t>
      </w:r>
      <w:r>
        <w:rPr>
          <w:rFonts w:hint="eastAsia" w:ascii="宋体" w:hAnsi="宋体" w:eastAsia="宋体" w:cs="宋体"/>
          <w:b/>
          <w:bCs/>
          <w:color w:val="auto"/>
          <w:sz w:val="44"/>
          <w:szCs w:val="44"/>
        </w:rPr>
        <w:t>年度</w:t>
      </w:r>
      <w:r>
        <w:rPr>
          <w:rFonts w:hint="eastAsia" w:ascii="宋体" w:hAnsi="宋体" w:eastAsia="宋体" w:cs="宋体"/>
          <w:b/>
          <w:bCs/>
          <w:color w:val="auto"/>
          <w:sz w:val="44"/>
          <w:szCs w:val="44"/>
          <w:lang w:eastAsia="zh-CN"/>
        </w:rPr>
        <w:t>湖南省纤维质量监测中心</w:t>
      </w:r>
    </w:p>
    <w:p>
      <w:pPr>
        <w:autoSpaceDE/>
        <w:autoSpaceDN/>
        <w:spacing w:line="625" w:lineRule="exact"/>
        <w:ind w:left="0" w:leftChars="0" w:firstLine="0" w:firstLineChars="0"/>
        <w:jc w:val="center"/>
        <w:rPr>
          <w:rFonts w:ascii="Times New Roman" w:hAnsi="Times New Roman" w:eastAsia="方正小标宋_GBK" w:cs="Times New Roman"/>
          <w:color w:val="auto"/>
          <w:sz w:val="44"/>
          <w:szCs w:val="44"/>
        </w:rPr>
      </w:pPr>
      <w:r>
        <w:rPr>
          <w:rFonts w:hint="eastAsia" w:ascii="宋体" w:hAnsi="宋体" w:eastAsia="宋体" w:cs="宋体"/>
          <w:b/>
          <w:bCs/>
          <w:color w:val="auto"/>
          <w:sz w:val="44"/>
          <w:szCs w:val="44"/>
        </w:rPr>
        <w:t>整体支出绩效自评报告</w:t>
      </w:r>
    </w:p>
    <w:p>
      <w:pPr>
        <w:keepNext w:val="0"/>
        <w:keepLines w:val="0"/>
        <w:pageBreakBefore w:val="0"/>
        <w:wordWrap/>
        <w:overflowPunct/>
        <w:autoSpaceDE/>
        <w:autoSpaceDN/>
        <w:bidi w:val="0"/>
        <w:spacing w:line="625" w:lineRule="exact"/>
        <w:ind w:firstLine="0" w:firstLineChars="0"/>
        <w:jc w:val="both"/>
        <w:rPr>
          <w:rFonts w:hint="eastAsia" w:ascii="Times New Roman" w:hAnsi="Times New Roman" w:eastAsia="仿宋_GB2312" w:cs="Times New Roman"/>
          <w:color w:val="auto"/>
          <w:sz w:val="32"/>
          <w:szCs w:val="32"/>
        </w:rPr>
      </w:pPr>
    </w:p>
    <w:p>
      <w:pPr>
        <w:pStyle w:val="2"/>
        <w:numPr>
          <w:ilvl w:val="0"/>
          <w:numId w:val="4"/>
        </w:numPr>
        <w:bidi w:val="0"/>
        <w:rPr>
          <w:rFonts w:hint="eastAsia"/>
        </w:rPr>
      </w:pPr>
      <w:r>
        <w:rPr>
          <w:rFonts w:hint="eastAsia"/>
        </w:rPr>
        <w:t>单位基本情况</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（一）职能职责</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1.承担棉花、苎麻等纤维质量公证检验,纤维及纤维制品监测、科研等相关事务性职能。</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2.承担纤维及纤维制品质量监督管理、行政执法、监督抽查、品质调查、评价评估、风险监测、执法办案、投诉举报的相关事务性工作。</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3.承担纤维及纤维制品质量复检、质量抽验、仲裁检验工作。</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4.承担纤维及纤维制品质量监测体系建设工作,承担纤维质量追溯体系建设。</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5.承担国家苎麻产品质量检验检测中心日常工作。</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6.承担纤维及纤维制品的标准制修订、培训交流、检测技术开发工作。</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7.承担全省纤维及纤维制品专用计量器具的检定、校准工作。</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8.向社会提供纤维质量检测相关技术服务。</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（二）机构设置</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内设综合部、党务人事部、质保法制部、质量监测部、棉花公检部、质量检验部共6个部门。具体为：</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1.综合部。负责文秘、财务、宣传、机要、安全、保密、 信访、政务公开、后勤管理、信息化建设等工作。</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2.党务人事部。负责党建、群团、纪检监察、人事、离退休人员管理、工会等工作。</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3.质保法制部。负责质量管理、法规宣教工作。负责对本省棉花、苎麻等纤维公检工作质量的抽查抽验。</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4.质量监测部。负责纤维和纤维制品质量监测工作。承担苎麻产品国抽的抽样、纤维和纤维制品质量监督管理、行政执法、投诉举报的相关事务性工作。</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5.棉花公检部。负责棉花公证检验和絮棉制品检验工作。负责全省棉花检验技术管理、标准制修订、科研工作,组织全省棉花检验技术交流活动。承担全省纤维计量检定站日常工作。</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jc w:val="both"/>
        <w:textAlignment w:val="baseline"/>
        <w:rPr>
          <w:rFonts w:hint="eastAsia"/>
        </w:rPr>
      </w:pPr>
      <w:r>
        <w:rPr>
          <w:rFonts w:hint="eastAsia" w:ascii="宋体" w:hAnsi="宋体" w:eastAsia="宋体" w:cs="宋体"/>
          <w:snapToGrid w:val="0"/>
          <w:color w:val="000000"/>
          <w:kern w:val="0"/>
          <w:sz w:val="28"/>
          <w:szCs w:val="28"/>
          <w:lang w:val="en-US" w:eastAsia="zh-CN" w:bidi="ar-SA"/>
        </w:rPr>
        <w:t>6.质量检验部。承担苎麻的公证检验工作.承担非棉纤维和纤维和纤维制品的检验、科研、检测技术开发和标准制修订工作。</w:t>
      </w:r>
    </w:p>
    <w:p>
      <w:pPr>
        <w:pStyle w:val="2"/>
        <w:bidi w:val="0"/>
        <w:rPr>
          <w:rFonts w:hint="eastAsia"/>
          <w:highlight w:val="none"/>
        </w:rPr>
      </w:pPr>
      <w:r>
        <w:rPr>
          <w:rFonts w:hint="eastAsia"/>
          <w:highlight w:val="none"/>
        </w:rPr>
        <w:t>二、一般公共预算支出情况</w:t>
      </w:r>
    </w:p>
    <w:p>
      <w:pPr>
        <w:pStyle w:val="16"/>
        <w:autoSpaceDE/>
        <w:autoSpaceDN/>
        <w:spacing w:line="625" w:lineRule="exact"/>
        <w:ind w:firstLine="640"/>
        <w:jc w:val="both"/>
        <w:rPr>
          <w:rFonts w:hint="eastAsia" w:ascii="黑体" w:hAnsi="黑体" w:eastAsia="黑体" w:cs="黑体"/>
          <w:bCs/>
          <w:color w:val="auto"/>
          <w:sz w:val="28"/>
          <w:szCs w:val="28"/>
        </w:rPr>
      </w:pPr>
      <w:r>
        <w:rPr>
          <w:rFonts w:hint="eastAsia" w:ascii="黑体" w:hAnsi="黑体" w:eastAsia="黑体" w:cs="黑体"/>
          <w:bCs/>
          <w:color w:val="auto"/>
          <w:sz w:val="28"/>
          <w:szCs w:val="28"/>
        </w:rPr>
        <w:t>（一）基本支出情况</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bCs/>
          <w:color w:val="auto"/>
          <w:sz w:val="28"/>
          <w:szCs w:val="28"/>
        </w:rPr>
      </w:pPr>
      <w:r>
        <w:rPr>
          <w:rFonts w:hint="eastAsia" w:ascii="宋体" w:hAnsi="宋体" w:eastAsia="宋体" w:cs="宋体"/>
          <w:snapToGrid w:val="0"/>
          <w:color w:val="000000"/>
          <w:sz w:val="28"/>
          <w:szCs w:val="28"/>
          <w:lang w:val="en-US" w:eastAsia="zh-CN" w:bidi="ar-SA"/>
        </w:rPr>
        <w:t>2024年度基本支出指标金额总计960.44万元，含年初预算指标925.44万元，追加人员经费指标35万元。无上年度结余基本经费指标。全年合计支出959.13万元，其中支出人员经费898.91万元，日常公用经费60.22万元。基本支出总结余1.31万元，结余全为公务接待费。基本支出指标金额支付执行率99.86%。</w:t>
      </w:r>
    </w:p>
    <w:p>
      <w:pPr>
        <w:pStyle w:val="16"/>
        <w:numPr>
          <w:ilvl w:val="0"/>
          <w:numId w:val="5"/>
        </w:numPr>
        <w:autoSpaceDE/>
        <w:autoSpaceDN/>
        <w:spacing w:line="625" w:lineRule="exact"/>
        <w:ind w:firstLine="640"/>
        <w:jc w:val="both"/>
        <w:rPr>
          <w:rFonts w:hint="eastAsia" w:ascii="黑体" w:hAnsi="黑体" w:eastAsia="黑体" w:cs="黑体"/>
          <w:bCs/>
          <w:color w:val="auto"/>
          <w:sz w:val="28"/>
          <w:szCs w:val="28"/>
        </w:rPr>
      </w:pPr>
      <w:r>
        <w:rPr>
          <w:rFonts w:hint="eastAsia" w:ascii="黑体" w:hAnsi="黑体" w:eastAsia="黑体" w:cs="黑体"/>
          <w:bCs/>
          <w:color w:val="auto"/>
          <w:sz w:val="28"/>
          <w:szCs w:val="28"/>
        </w:rPr>
        <w:t>项目支出情况</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项目支出系我院为做好纤检工作而发生的各项支出，包括市场监管专项经费、业务工作经费和运行维护经费。项目支出指标金额合计1164.74万元，含年初预算数299万元，追加指标423.80万元，上年度结转结余441.94万元。全年实际支出合计934万元，结余230.74万元。项目支出指标预算执行率80.19%（不包含棉花公检费预算执行率为99.97%）。项目资金结余230.74万元，结余资金实际主要是棉花公检费，占结余资金的99.97%，棉花公检经费是中央资金，它的拨付具备特殊性，一般在每年的2月和6月分两次拨付，而我院一般在10月至下年4月赴疆开展棉花公检工作，需要预留一定资金予以保障。项目支出具体情况如下：</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1.产商品质量抽查与风险监测。该项目为省级专项，我院在项目资金到位后，按照省局2024年第一批、第二批、第四批、第五批监督抽查计划，开展了学生服、学生床上用品、棉胎、婴幼儿及儿童服装、棉花、羽绒服装、床上用品等7类产品监督抽查，共抽查422批次产品，不断提升质量监管水平，规范监督抽查程序，守牢筑牢产品质量安全底线。产商品质量抽查与风险监测项目经费2024年年初预算70元，上年结转0.89万元。应到位70.89万元，实际到位70.89万元。实际支付70.83万元，支付执行率99.92%。其中，差旅费16.5万元，培训应到位70万元，实际到位70万元，费2.06万元，委托业务费15.15万元，电费1.33万元，劳务费5.85万元，维修（护）费16万元，邮电费2万元，专用材料费11.94万元。</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2.标准化。该项目为《针刺平面毡》行业标准的制定事后补助。该项目经费2024年预算3万元，应到位3万元，实际到位3万元。实际支付3万元，支付执行率100%。为其他商品服务支出3万元。</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default"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3.计量监管经费。该项目为计量监管经费（棉花水分</w:t>
      </w:r>
      <w:bookmarkStart w:id="7" w:name="_GoBack"/>
      <w:bookmarkEnd w:id="7"/>
      <w:r>
        <w:rPr>
          <w:rFonts w:hint="eastAsia" w:ascii="宋体" w:hAnsi="宋体" w:eastAsia="宋体" w:cs="宋体"/>
          <w:snapToGrid w:val="0"/>
          <w:color w:val="000000"/>
          <w:sz w:val="28"/>
          <w:szCs w:val="28"/>
          <w:lang w:val="en-US" w:eastAsia="zh-CN" w:bidi="ar-SA"/>
        </w:rPr>
        <w:t>测定仪计量检定），为纤维检验企业和地市纤检机构提供仪器设备的计量检定服务。该项目经费2024年预算4万元，应到位4万元，实际到位4万元。实际支付4万元，支付执行率100%。具体为：其他交通费用0.69万元、劳务费1.5万元、差旅费1.81万元。</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4.纤维公证检验经费。纤维公证检验经费又叫棉花公检费，基本性质为完成中国纤维质量监测中心下达的棉花公证检验任务；用途是围绕棉花公证检验绩效项目指标，按照任务要求，力争在高质量完成全年的棉花公检任务；主要内容为棉花的数量检验和质量检验。2024年承担的棉花公检任务为：质量检验61342吨，数量检验34258吨；2024年棉花公检经费下达540万元，2023年结转441.05万元，2024年实际支出750.37万元，结转下年230.68万元，预算执行率76.49%。支出具体为：办公费支出16.29万元，占比2.17%；办公设备购置支出7.07万元，占比0.94%；培训费支出1.81万元，占比0.24%；取暖费支出5万元，占比0.67%；电费支出10万元，占比1.33%；维修（护）费支出38.77万元，占比5.17%；物业管理费支出12.16万元，占比1.62%；差旅费支出167.77万元，占比22.36%；印刷费支出0.17万元，占比0.02%；邮电费支出6.13万元，占比0.82%；其他交通费支出3.87万元，占比0.52%；专用材料费支出9.02万元，占比1.20%；劳务费支出382.98万元，占比51.39%；专用设备购置支出53.06万元，占比7.07%；租赁费支出4.42万元，占比0.59%；意外保险费支出4.42万元，占比0.59%；委托业务费支出18.17万元，占比2.42%；咨询费1.1万元，占比0.15%；无形资产购置1.58万元，占比0.21%；其他支出6.58万元，占比0.88%。</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5.业务工作经费。该项目是年中追加指标，用于弥补我院日常行政运行中公用经费的不足。该项目经费应到位90万元，实际到位90万元。实际支付90万元，支付执行率100%。具体为：办公费8万元、办公设备购置11.6万元、差旅费2万元、电费24万元、工会经费8万元、劳务费12.04万元、培训费8.96万元、水费8万元、维修（护）费5.4万元、印刷费2万元。</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default"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6.2023年度省直机关单位绩效清算经费。该项目是年中追加指标，用于发放上一年度省政府绩效考核奖金。该项目经费应到位15.8万元，实际到位15.8万元。实际支付15.8万元，支付执行率100%。</w:t>
      </w:r>
    </w:p>
    <w:p>
      <w:pPr>
        <w:pStyle w:val="16"/>
        <w:autoSpaceDE/>
        <w:autoSpaceDN/>
        <w:spacing w:line="625" w:lineRule="exact"/>
        <w:jc w:val="both"/>
        <w:rPr>
          <w:rFonts w:hint="eastAsia" w:ascii="黑体" w:hAnsi="黑体" w:eastAsia="黑体" w:cs="黑体"/>
          <w:color w:val="auto"/>
          <w:sz w:val="28"/>
          <w:szCs w:val="28"/>
        </w:rPr>
      </w:pPr>
      <w:r>
        <w:rPr>
          <w:rFonts w:hint="eastAsia" w:ascii="黑体" w:hAnsi="黑体" w:eastAsia="黑体" w:cs="黑体"/>
          <w:color w:val="auto"/>
          <w:sz w:val="28"/>
          <w:szCs w:val="28"/>
        </w:rPr>
        <w:t>三、政府性基金预算支出情况</w:t>
      </w:r>
    </w:p>
    <w:p>
      <w:pPr>
        <w:pStyle w:val="16"/>
        <w:keepNext w:val="0"/>
        <w:keepLines w:val="0"/>
        <w:pageBreakBefore w:val="0"/>
        <w:widowControl/>
        <w:numPr>
          <w:ilvl w:val="0"/>
          <w:numId w:val="0"/>
        </w:numPr>
        <w:wordWrap/>
        <w:overflowPunct/>
        <w:topLinePunct w:val="0"/>
        <w:autoSpaceDE w:val="0"/>
        <w:autoSpaceDN w:val="0"/>
        <w:bidi w:val="0"/>
        <w:adjustRightInd w:val="0"/>
        <w:snapToGrid w:val="0"/>
        <w:spacing w:line="500" w:lineRule="exact"/>
        <w:ind w:firstLine="560" w:firstLineChars="200"/>
        <w:jc w:val="both"/>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我院没有政府性基金预算支出。</w:t>
      </w:r>
    </w:p>
    <w:p>
      <w:pPr>
        <w:pStyle w:val="16"/>
        <w:numPr>
          <w:ilvl w:val="0"/>
          <w:numId w:val="6"/>
        </w:numPr>
        <w:autoSpaceDE/>
        <w:autoSpaceDN/>
        <w:spacing w:line="625" w:lineRule="exact"/>
        <w:ind w:firstLine="640"/>
        <w:jc w:val="both"/>
        <w:rPr>
          <w:rFonts w:hint="eastAsia" w:ascii="黑体" w:hAnsi="黑体" w:eastAsia="黑体" w:cs="黑体"/>
          <w:color w:val="auto"/>
          <w:sz w:val="28"/>
          <w:szCs w:val="28"/>
        </w:rPr>
      </w:pPr>
      <w:r>
        <w:rPr>
          <w:rFonts w:hint="eastAsia" w:ascii="黑体" w:hAnsi="黑体" w:eastAsia="黑体" w:cs="黑体"/>
          <w:color w:val="auto"/>
          <w:sz w:val="28"/>
          <w:szCs w:val="28"/>
        </w:rPr>
        <w:t>国有资本经营预算支出情况</w:t>
      </w:r>
    </w:p>
    <w:p>
      <w:pPr>
        <w:pStyle w:val="16"/>
        <w:keepNext w:val="0"/>
        <w:keepLines w:val="0"/>
        <w:pageBreakBefore w:val="0"/>
        <w:widowControl/>
        <w:numPr>
          <w:ilvl w:val="0"/>
          <w:numId w:val="0"/>
        </w:numPr>
        <w:wordWrap/>
        <w:overflowPunct/>
        <w:topLinePunct w:val="0"/>
        <w:autoSpaceDE w:val="0"/>
        <w:autoSpaceDN w:val="0"/>
        <w:bidi w:val="0"/>
        <w:adjustRightInd w:val="0"/>
        <w:snapToGrid w:val="0"/>
        <w:spacing w:line="500" w:lineRule="exact"/>
        <w:ind w:firstLine="560" w:firstLineChars="200"/>
        <w:rPr>
          <w:rFonts w:hint="default" w:ascii="黑体" w:hAnsi="黑体" w:eastAsia="黑体" w:cs="黑体"/>
          <w:color w:val="auto"/>
          <w:sz w:val="28"/>
          <w:szCs w:val="28"/>
          <w:lang w:val="en-US" w:eastAsia="zh-CN"/>
        </w:rPr>
      </w:pPr>
      <w:r>
        <w:rPr>
          <w:rFonts w:hint="eastAsia" w:ascii="宋体" w:hAnsi="宋体" w:eastAsia="宋体" w:cs="宋体"/>
          <w:snapToGrid w:val="0"/>
          <w:color w:val="000000"/>
          <w:sz w:val="28"/>
          <w:szCs w:val="28"/>
          <w:lang w:val="en-US" w:eastAsia="zh-CN" w:bidi="ar-SA"/>
        </w:rPr>
        <w:t>我院没有国有资本经营预算支出</w:t>
      </w:r>
      <w:r>
        <w:rPr>
          <w:rFonts w:hint="eastAsia" w:ascii="宋体" w:hAnsi="宋体" w:eastAsia="宋体" w:cs="宋体"/>
          <w:snapToGrid w:val="0"/>
          <w:color w:val="000000"/>
          <w:sz w:val="32"/>
          <w:szCs w:val="32"/>
          <w:lang w:val="en-US" w:eastAsia="zh-CN" w:bidi="ar-SA"/>
        </w:rPr>
        <w:t>。</w:t>
      </w:r>
    </w:p>
    <w:p>
      <w:pPr>
        <w:pStyle w:val="16"/>
        <w:numPr>
          <w:ilvl w:val="0"/>
          <w:numId w:val="6"/>
        </w:numPr>
        <w:autoSpaceDE/>
        <w:autoSpaceDN/>
        <w:spacing w:line="625" w:lineRule="exact"/>
        <w:ind w:left="0" w:leftChars="0" w:firstLine="560" w:firstLineChars="200"/>
        <w:jc w:val="both"/>
        <w:rPr>
          <w:rFonts w:hint="eastAsia" w:ascii="黑体" w:hAnsi="黑体" w:eastAsia="黑体" w:cs="黑体"/>
          <w:color w:val="auto"/>
          <w:sz w:val="28"/>
          <w:szCs w:val="28"/>
        </w:rPr>
      </w:pPr>
      <w:r>
        <w:rPr>
          <w:rFonts w:hint="eastAsia" w:ascii="黑体" w:hAnsi="黑体" w:eastAsia="黑体" w:cs="黑体"/>
          <w:color w:val="auto"/>
          <w:sz w:val="28"/>
          <w:szCs w:val="28"/>
        </w:rPr>
        <w:t>社会保险基金预算支出情况</w:t>
      </w:r>
    </w:p>
    <w:p>
      <w:pPr>
        <w:pStyle w:val="16"/>
        <w:keepNext w:val="0"/>
        <w:keepLines w:val="0"/>
        <w:pageBreakBefore w:val="0"/>
        <w:widowControl/>
        <w:numPr>
          <w:ilvl w:val="0"/>
          <w:numId w:val="0"/>
        </w:numPr>
        <w:wordWrap/>
        <w:overflowPunct/>
        <w:topLinePunct w:val="0"/>
        <w:autoSpaceDE w:val="0"/>
        <w:autoSpaceDN w:val="0"/>
        <w:bidi w:val="0"/>
        <w:adjustRightInd w:val="0"/>
        <w:snapToGrid w:val="0"/>
        <w:spacing w:line="500" w:lineRule="exact"/>
        <w:ind w:leftChars="200"/>
        <w:jc w:val="both"/>
        <w:rPr>
          <w:rFonts w:hint="eastAsia" w:ascii="宋体" w:hAnsi="宋体" w:eastAsia="宋体" w:cs="宋体"/>
          <w:color w:val="auto"/>
          <w:sz w:val="28"/>
          <w:szCs w:val="28"/>
          <w:lang w:val="en-US" w:eastAsia="zh-CN"/>
        </w:rPr>
      </w:pPr>
      <w:r>
        <w:rPr>
          <w:rFonts w:hint="eastAsia" w:ascii="宋体" w:hAnsi="宋体" w:eastAsia="宋体" w:cs="宋体"/>
          <w:snapToGrid w:val="0"/>
          <w:color w:val="000000"/>
          <w:sz w:val="28"/>
          <w:szCs w:val="28"/>
          <w:lang w:val="en-US" w:eastAsia="zh-CN" w:bidi="ar-SA"/>
        </w:rPr>
        <w:t>我院没有社会保险基金预算支出</w:t>
      </w:r>
      <w:r>
        <w:rPr>
          <w:rFonts w:hint="eastAsia" w:ascii="宋体" w:hAnsi="宋体" w:eastAsia="宋体" w:cs="宋体"/>
          <w:snapToGrid w:val="0"/>
          <w:color w:val="000000"/>
          <w:sz w:val="32"/>
          <w:szCs w:val="32"/>
          <w:lang w:val="en-US" w:eastAsia="zh-CN" w:bidi="ar-SA"/>
        </w:rPr>
        <w:t>。</w:t>
      </w:r>
    </w:p>
    <w:p>
      <w:pPr>
        <w:pStyle w:val="2"/>
        <w:bidi w:val="0"/>
        <w:rPr>
          <w:rFonts w:hint="eastAsia"/>
        </w:rPr>
      </w:pPr>
      <w:r>
        <w:rPr>
          <w:rFonts w:hint="eastAsia"/>
        </w:rPr>
        <w:t>六、单位整体支出绩效情况</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FF0000"/>
          <w:sz w:val="28"/>
          <w:szCs w:val="28"/>
          <w:lang w:val="en-US" w:eastAsia="zh-CN" w:bidi="ar-SA"/>
        </w:rPr>
      </w:pPr>
      <w:r>
        <w:rPr>
          <w:rFonts w:hint="eastAsia" w:ascii="宋体" w:hAnsi="宋体" w:eastAsia="宋体" w:cs="宋体"/>
          <w:snapToGrid w:val="0"/>
          <w:color w:val="000000"/>
          <w:sz w:val="28"/>
          <w:szCs w:val="28"/>
          <w:lang w:val="en-US" w:eastAsia="zh-CN" w:bidi="ar-SA"/>
        </w:rPr>
        <w:t>（一）</w:t>
      </w:r>
      <w:r>
        <w:rPr>
          <w:rFonts w:hint="eastAsia" w:ascii="宋体" w:hAnsi="宋体" w:eastAsia="宋体" w:cs="宋体"/>
          <w:snapToGrid w:val="0"/>
          <w:color w:val="auto"/>
          <w:sz w:val="28"/>
          <w:szCs w:val="28"/>
          <w:lang w:val="en-US" w:eastAsia="zh-CN" w:bidi="ar-SA"/>
        </w:rPr>
        <w:t>分析总结零基预算改革实施、预算支出的绩效目标完成情况、实现产出和取得效益的情况</w:t>
      </w:r>
      <w:r>
        <w:rPr>
          <w:rFonts w:hint="eastAsia" w:ascii="宋体" w:hAnsi="宋体" w:eastAsia="宋体" w:cs="宋体"/>
          <w:snapToGrid w:val="0"/>
          <w:color w:val="000000"/>
          <w:sz w:val="28"/>
          <w:szCs w:val="28"/>
          <w:lang w:val="en-US" w:eastAsia="zh-CN" w:bidi="ar-SA"/>
        </w:rPr>
        <w:t>。</w:t>
      </w:r>
      <w:r>
        <w:rPr>
          <w:rFonts w:hint="eastAsia" w:ascii="宋体" w:hAnsi="宋体" w:eastAsia="宋体" w:cs="宋体"/>
          <w:snapToGrid w:val="0"/>
          <w:color w:val="FF0000"/>
          <w:sz w:val="28"/>
          <w:szCs w:val="28"/>
          <w:lang w:val="en-US" w:eastAsia="zh-CN" w:bidi="ar-SA"/>
        </w:rPr>
        <w:t>（此段为预算和预算绩效管理）</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零基预算改革让我院预算编制更科学化：一是打破“基数+增长”模式，以检验检测职能为核心，围绕纤维质量安全监管、标准制修订、实验室能力建设等重点工作，逐项论证项目必要性、合理性，优化资金分配。二是资源整合效率提升：重点保障纤维质量监督抽查、仪器设备更新、科研攻关等关键领域，压缩非必要行政开支。三是动态调整机制：根据突发任务（如应急抽检、新纤维标准出台）灵活调整预算，增强财政资金应对行业变化的适配性。</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预算支出的绩效目标全部如期完成。按照省局2024年第一批、第二批、第四批、第五批监督抽查计划，开展了学生服、学生床上用品、棉胎、婴幼儿及儿童服装、棉花、羽绒服装、床上用品等7类产品监督抽查，共抽查422批次产品，不断提升质量监管水平，规范监督抽查程序，守牢筑牢产品质量安全底线；《针刺平面毡》行业标准顺利完成；2024年承担的棉花公检任务为：质量检验61342吨，数量检验34258吨，如期全部完成。</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（二）围绕单位职责、行业发展规划，以预算资金管理为主线，总结本单位资产管理和开展业务情况。</w:t>
      </w:r>
      <w:r>
        <w:rPr>
          <w:rFonts w:hint="eastAsia" w:ascii="宋体" w:hAnsi="宋体" w:eastAsia="宋体" w:cs="宋体"/>
          <w:snapToGrid w:val="0"/>
          <w:color w:val="FF0000"/>
          <w:sz w:val="28"/>
          <w:szCs w:val="28"/>
          <w:lang w:val="en-US" w:eastAsia="zh-CN" w:bidi="ar-SA"/>
        </w:rPr>
        <w:t>（此段为单位履职效能）</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我院资产配置以支撑纤维质量监督抽查、纤维检验检测、标准制修订、科研攻关等职能为目标，重点保障实验室设备（如光谱仪、色谱仪）、检测耗材、信息化平台等关键领域。预算编制与资产存量挂钩：依托零基预算改革，打破“重购置、轻管理”惯性，在编制年度预算时优先盘活存量资产（如共享闲置设备），严控重复采购；资金执行与资产效能绑定：将设备使用率、实验室开放共享率等指标。资产管理需紧扣“技术支撑行业高质量发展”主线，以预算资金管理为抓手，推动资产配置从“被动保障”向“主动赋能”转型。通过健全全生命周期管理机制、强化预算资产联动、加快数字化转型，可进一步提升资产使用效益，为履行质量安全监管职责、服务纺织行业转型升级提供坚实保障。</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深植理论武装，锤炼政治内核。始终把政治建设放在首位，严格落实“第一议题”学习制度，全年组织开展党委中心组理论专题学习10次，专题研讨发言20人次，举办“纤检讲堂”9期。院领导带动全体党员读原著学原文、悟原理知原义，真正学深悟透、入脑入心，引导党员干部不断提高政治判断力、政治领悟力、政治执行力，用实际行动忠诚拥护“两个确立”，树牢“四个意识”，坚定“四个自信”、做到“两个维护”。</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强化党纪学习教育，筑牢纪律防线。实施“学、研、警、行”四维模式，扎实抓好党纪学习教育。全年组织《中国共产党纪律处分条例》集中学习4次，领导干部及支部书记讲党课9次，开展微党课6次，专题读书班4次，专题研讨发言21人次，观看警示教育片20余次，外出学习参观2次，收集心得体会13篇，报送征文2篇。同时根据《条例》修订了《湖南省纤维检测研究院纪委工作办法》，有效增强了干部职工的纪律意识和规矩意识。</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高质量完成公检任务。棉花公检方面，按照中纤中心的安排部署，省院作为主检机构，与常德、益阳、岳阳中心密切配合，通过构建紧密相连的命运共同体，在公检工作中，各单位始终秉持互相理解、彼此尊重的态度，以开放包容的胸怀接纳各方观点与建议。面对工作推进过程中不可避免的困难与挑战，携手共进，整合资源、凝聚智慧，凭借坚定的决心予以克服。派出检验人员102人次，在中储棉库尔勒有限责任公司和库尔勒银星物流有限责任公司开展监管棉在库公证检验工作。同时，派出人员进驻中储棉岳阳有限公司、湖南福泰物流有限公司和岳阳港龙物流有限公司开展中央储备棉和内地监管棉公检，齐心协力完成了2024年棉花公证检验任务。非棉纤维公检方面，2024年常德纤监中心完成了苎麻精干麻公检1760吨，受到中纤中心通报表扬。</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default"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持续推进监管护棉行动。省院为省局代起草《2024年度全省“监管护棉”行动工作方案》，着力在收购环节“护棉农”、加工环节“护棉业”、销售环节“护棉企”，实现棉花监管在重点区域、重点企业、重点问题的全覆盖，督促各方落实主体责任，促进棉花产业高质量发展。</w:t>
      </w:r>
      <w:bookmarkStart w:id="2" w:name="OLE_LINK5"/>
      <w:bookmarkStart w:id="3" w:name="OLE_LINK6"/>
      <w:r>
        <w:rPr>
          <w:rFonts w:hint="eastAsia" w:ascii="宋体" w:hAnsi="宋体" w:eastAsia="宋体" w:cs="宋体"/>
          <w:snapToGrid w:val="0"/>
          <w:color w:val="000000"/>
          <w:sz w:val="28"/>
          <w:szCs w:val="28"/>
          <w:lang w:val="en-US" w:eastAsia="zh-CN" w:bidi="ar-SA"/>
        </w:rPr>
        <w:t>去年5月，省院和三市中心组建全省棉花公证检验技术专家检查组，对全省四家棉花公检机构和两家中储棉仓库开展了棉花公证检验工作质量监督检查，确保公检工作的准确性和公正性。</w:t>
      </w:r>
      <w:bookmarkEnd w:id="2"/>
      <w:bookmarkEnd w:id="3"/>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（三）从运行成本、管理效率衡量单位整体及核心业务实施效果（含制度建设情况、项目库建立情况、单位支出标准体系建设情况、核心绩效指标体系建设情况）。</w:t>
      </w:r>
      <w:r>
        <w:rPr>
          <w:rFonts w:hint="eastAsia" w:ascii="宋体" w:hAnsi="宋体" w:eastAsia="宋体" w:cs="宋体"/>
          <w:snapToGrid w:val="0"/>
          <w:color w:val="FF0000"/>
          <w:sz w:val="28"/>
          <w:szCs w:val="28"/>
          <w:lang w:val="en-US" w:eastAsia="zh-CN" w:bidi="ar-SA"/>
        </w:rPr>
        <w:t>（此段为单位履职效能）</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棉花公检业务再创新高。2024年新疆监管棉和央储棉公检量达36万吨，同比增长100%；内地监管棉公检量突破2万吨，同比增长近100%，公检工作取得显著成效，服务了棉花产业发展。</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调研报告助力产业发展。《全国苎麻产业调研报告》得到市场监管总局及中纤中心高度认可，2024年3月由总局上报至中共中央办公厅、国务院办公厅。该报告在全省市场监管系统第四届优秀调研报告评选中被评选为优秀论文。</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业务活动成效显著。2024年9月，高标准服务保障中纤中心在长沙举办的全国棉花公检业务交流活动，29省150家机构参加；11月，省院与常德纤监中心承办了全国麻类纤维检验技术交流比对活动，7省15家机构参加，两次活动显著提升了湖南纤检影响力。</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积极开展监督抽查工作。根据省局工作安排，省院起草了2024年湖南省学生服、棉胎产品、床上用品等产品的《质量监督抽查实施细则》，开展了2023年岁末年初、2024年第一、二、四批湖南省重点工业产品质量监督抽查工作，全年对省内学生服、床上用品、棉胎等6类产品进行抽查，共抽查337家企业，435批次产品。</w:t>
      </w:r>
      <w:bookmarkStart w:id="4" w:name="OLE_LINK8"/>
      <w:r>
        <w:rPr>
          <w:rFonts w:hint="eastAsia" w:ascii="宋体" w:hAnsi="宋体" w:eastAsia="宋体" w:cs="宋体"/>
          <w:snapToGrid w:val="0"/>
          <w:color w:val="000000"/>
          <w:sz w:val="28"/>
          <w:szCs w:val="28"/>
          <w:lang w:val="en-US" w:eastAsia="zh-CN" w:bidi="ar-SA"/>
        </w:rPr>
        <w:t>常德完成中纤中心学生服专项质量监测抽查10批次、市级学生服监督抽查20批次。益阳完成中纤中心学生服和絮用纤维制品专项质量监测抽查10批次、市级服装、学生儿童用品监督抽查30批次。</w:t>
      </w:r>
      <w:bookmarkEnd w:id="4"/>
      <w:r>
        <w:rPr>
          <w:rFonts w:hint="eastAsia" w:ascii="宋体" w:hAnsi="宋体" w:eastAsia="宋体" w:cs="宋体"/>
          <w:snapToGrid w:val="0"/>
          <w:color w:val="000000"/>
          <w:sz w:val="28"/>
          <w:szCs w:val="28"/>
          <w:lang w:val="en-US" w:eastAsia="zh-CN" w:bidi="ar-SA"/>
        </w:rPr>
        <w:t>岳阳完成中纤中心学生服专项质量监测抽查10批次、市级纤维及纤维制品监督抽查49批次。</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稳步推进标准科研工作。积极参与《絮用纤维制品通用技术要求》强制性国家标准修订工作，以及《针刺棉胎通用技术要求》《制式学生服通用技术规范》的技术参数验证任务。圆满完成中纤中心《麻类纤维公证检验检测能力保障服务项目》及湖南省自然科学基金科市联合基金项目“竹节纱面料虚拟设计与风格表征方法”，发表《麻类纺织品舒适性能的研究》学术论文3篇。积极争取衡山实验室《电子扫描显微镜与全自动纤维细度仪对麻类纤维微观结构的比较》项目立项，申报2025年科市联合基金项目1项，深化与湖南工程学院、湖南农业大学苎麻研究所的检学研协同合作，为行业技术创新提供有力支撑。</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深入开展技术帮扶活动。结合《服务纺织服装产业高质量发展八条措施》，制定技术帮扶方案，选派多名专家成立帮扶小组，走访企业100余家，建议措施305条。与祁阳市市场监督管理局、祁阳科技工业园签订《祁阳现代纺织特色产业园区主体强身质量品牌提升协议》，推进经营主体强身指导帮扶落实落地，助力企业发展提质增效，帮扶祁阳市建设高水平、高质量的现代特色纺织产业群。</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强化实验室内部管理。不断加强实验室内部管理，定期开展自查自纠，及时完成国家认监委、国家市场监管总局检验业务相关信息上报工作和《2023年度社会责任报告》《检验检测机构年度报告》。全年参加实验室能力验证10项、实验室间比对7项，组织实验室间比对5项、内部质控实验130项，结果均为满意。年内接受了CNAS复评+扩项+变更评审和省局检验检测机构飞行检查，针对检查中发现的问题，认真分析原因、积极组织整改，检验检测质量进一步提高。</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（四）从履职效能、社会效应、可持续发展能力和服务对象满意度等方面，衡量单位整体及核心业务实施效果。</w:t>
      </w:r>
      <w:r>
        <w:rPr>
          <w:rFonts w:hint="eastAsia" w:ascii="宋体" w:hAnsi="宋体" w:eastAsia="宋体" w:cs="宋体"/>
          <w:snapToGrid w:val="0"/>
          <w:color w:val="FF0000"/>
          <w:sz w:val="28"/>
          <w:szCs w:val="28"/>
          <w:lang w:val="en-US" w:eastAsia="zh-CN" w:bidi="ar-SA"/>
        </w:rPr>
        <w:t>（此段为单位履职效能）</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2024年，全省纤检系统全面落实党的二十大和二十届二中、三中全会精神，锚定“三高四新”美好蓝图，服务经济社会高质量发展，围绕“一二三四五六”工作思路，坚持讲政治、重监测、优服务、提能力、强管理、塑形象，全面建设取得了新的成绩，省院被省局评为先进集体。政治生态持续优化。省院纵深推进“清廉纤检”建设，风清气正氛围浓厚，全年做到零投诉、零举报，得到省局领导充分肯定。院党委书记撰写的《做到四个全覆盖 紧盯四个关键 纵深推进党风廉政建设》、院纪委书记撰写的《在攻坚战持久战中始终冲锋在最前面》分别在省局报刊和“湖南日报新媒体”刊载。2024年省院被选树为省局系统的“清廉单元”样本，并在省局党风廉政建设工作会议上作典型发言。</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2024年的纤检工作，成绩令人鼓舞，来之殊为不易，全省纤检系统干部职工踔厉奋发、笃行不怠，交出了一份令人满意的答卷。这些成绩的取得，是习近平新时代中国特色社会主义思想科学指引的结果，是中纤中心大力支持的结果，是省局党组坚强领导的结果，是分管领导加友二级巡视员和省局监督处等处室关心帮助的结果，是三市市场监管局分管领导鼎力相助的结果，更是全省纤检系统干部职工</w:t>
      </w:r>
      <w:bookmarkStart w:id="5" w:name="OLE_LINK20"/>
      <w:bookmarkStart w:id="6" w:name="OLE_LINK21"/>
      <w:r>
        <w:rPr>
          <w:rFonts w:hint="eastAsia" w:ascii="宋体" w:hAnsi="宋体" w:eastAsia="宋体" w:cs="宋体"/>
          <w:snapToGrid w:val="0"/>
          <w:color w:val="000000"/>
          <w:sz w:val="28"/>
          <w:szCs w:val="28"/>
          <w:lang w:val="en-US" w:eastAsia="zh-CN" w:bidi="ar-SA"/>
        </w:rPr>
        <w:t>拼搏进取、团结协作</w:t>
      </w:r>
      <w:bookmarkEnd w:id="5"/>
      <w:bookmarkEnd w:id="6"/>
      <w:r>
        <w:rPr>
          <w:rFonts w:hint="eastAsia" w:ascii="宋体" w:hAnsi="宋体" w:eastAsia="宋体" w:cs="宋体"/>
          <w:snapToGrid w:val="0"/>
          <w:color w:val="000000"/>
          <w:sz w:val="28"/>
          <w:szCs w:val="28"/>
          <w:lang w:val="en-US" w:eastAsia="zh-CN" w:bidi="ar-SA"/>
        </w:rPr>
        <w:t>的结果。</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落实主体责任，统筹兼顾全面推进。制定了《党建工作要点》《纪检工作要点》以及《党风廉政建设风险点排查与防控方案》，各部门开展自查自纠，梳理查找出15个廉政风险点，制订防控措施40条。压实领导班子“一岗双责”主体责任，将行风建设融入业务工作，院纪委分别在华容县供销社、常德三湘和达棉花仓库组织召开行风建设推进座谈会，充分听取各方面意见建议和满意度评价。开展专项督查，强化督导确保实效。采用线上线下督考联动纠治“四风”，积极推进“两带头五整治”专项行动，加强公务用餐、公务用车监督，开展廉政谈话22人次，开展劳动纪律专项检查12次，发送廉洁短信260余人次，组织观看警示教育片4次。院领导班子和各部门负责人签署了《家庭助廉承诺书》，促进家庭成员间的相互监督以及“八小时外”自我约束。强化服务意识，增强群众所得所获。以省局“质量月”活动为契机，开展“阳光纤检”进校园活动，在湖南农业大学为学生自购自带絮棉制品进行免费检测，防止“黑心棉”流入校园，维护学生身体健康和安全。积极参与省标准化协会纺织和服装专业委员会筹建工作，为我省纺织行业标准化工作贡献“纤检力量”。</w:t>
      </w:r>
    </w:p>
    <w:p>
      <w:pPr>
        <w:keepNext w:val="0"/>
        <w:keepLines w:val="0"/>
        <w:pageBreakBefore w:val="0"/>
        <w:widowControl/>
        <w:numPr>
          <w:ilvl w:val="0"/>
          <w:numId w:val="7"/>
        </w:numPr>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FF0000"/>
          <w:sz w:val="28"/>
          <w:szCs w:val="28"/>
          <w:lang w:val="en-US" w:eastAsia="zh-CN" w:bidi="ar-SA"/>
        </w:rPr>
      </w:pPr>
      <w:r>
        <w:rPr>
          <w:rFonts w:hint="eastAsia" w:ascii="宋体" w:hAnsi="宋体" w:eastAsia="宋体" w:cs="宋体"/>
          <w:snapToGrid w:val="0"/>
          <w:color w:val="FF0000"/>
          <w:sz w:val="28"/>
          <w:szCs w:val="28"/>
          <w:lang w:val="en-US" w:eastAsia="zh-CN" w:bidi="ar-SA"/>
        </w:rPr>
        <w:t>资金分配、使用和管理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auto"/>
          <w:sz w:val="28"/>
          <w:szCs w:val="28"/>
          <w:lang w:val="en-US" w:eastAsia="zh-CN" w:bidi="ar-SA"/>
        </w:rPr>
        <w:t>1.资金分配和使用。</w:t>
      </w:r>
      <w:r>
        <w:rPr>
          <w:rFonts w:hint="eastAsia" w:ascii="宋体" w:hAnsi="宋体" w:eastAsia="宋体" w:cs="宋体"/>
          <w:snapToGrid w:val="0"/>
          <w:color w:val="000000"/>
          <w:sz w:val="28"/>
          <w:szCs w:val="28"/>
          <w:lang w:val="en-US" w:eastAsia="zh-CN" w:bidi="ar-SA"/>
        </w:rPr>
        <w:t>2024年度基本支出指标金额总计960.44万元，含年初预算指标925.44万元，追加人员经费指标35万元。无上年度结余基本经费指标。全年合计支出959.13万元，其中支出人员经费898.91万元，日常公用经费60.22万元。基本支出总结余1.31万元，结余全为公务接待费。基本支出指标金额支付执行率99.86%。产商品质量抽查与风险监测项目经费2024年年初预算70元，上年结转0.89万元。应到位70.89万元，实际到位70.89万元。实际支付70.83万元，支付执行率99.92%。其中，差旅费16.5万元，培训应到位70万元，实际到位70万元，费2.06万元，委托业务费15.15万元，电费1.33万元，劳务费5.85万元，维修（护）费16万元，邮电费2万元，专用材料费11.94万元。</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标准化。该项目经费2024年预算3万元，应到位3万元，实际到位3万元。实际支付3万元，支付执行率100%。为其他商品服务支出3万元。</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计量监管经费。该项目经费2024年预算4万元，应到位4万元，实际到位4万元。实际支付4万元，支付执行率100%。具体为：其他交通费用0.69万元、劳务费1.5万元、差旅费1.81万元。</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纤维公证检验经费。2024年棉花公检经费下达540万元，2023年结转441.05万元，2024年实际支出750.37万元，结转下年230.68万元，预算执行率76.49%。支出具体为：办公费支出16.29万元，占比2.17%；办公设备购置支出7.07万元，占比0.94%；培训费支出1.81万元，占比0.24%；取暖费支出5万元，占比0.67%；电费支出10万元，占比1.33%；维修（护）费支出38.77万元，占比5.17%；物业管理费支出12.16万元，占比1.62%；差旅费支出167.77万元，占比22.36%；印刷费支出0.17万元，占比0.02%；邮电费支出6.13万元，占比0.82%；其他交通费支出3.87万元，占比0.52%；专用材料费支出9.02万元，占比1.20%；劳务费支出382.98万元，占比51.39%；专用设备购置支出53.06万元，占比7.07%；租赁费支出4.42万元，占比0.59%；意外保险费支出4.42万元，占比0.59%；委托业务费支出18.17万元，占比2.42%；咨询费1.1万元，占比0.15%；无形资产购置1.58万元，占比0.21%；其他支出6.58万元，占比0.88%。</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业务工作经费。该项目是年中追加指标，用于弥补我院日常行政运行中公用经费的不足。该项目经费应到位90万元，实际到位90万元。实际支付90万元，支付执行率100%。具体为：办公费8万元、办公设备购置11.6万元、差旅费2万元、电费24万元、工会经费8万元、劳务费12.04万元、培训费8.96万元、水费8万元、维修（护）费5.4万元、印刷费2万元。</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bCs/>
          <w:color w:val="auto"/>
          <w:sz w:val="28"/>
          <w:szCs w:val="28"/>
        </w:rPr>
      </w:pPr>
      <w:r>
        <w:rPr>
          <w:rFonts w:hint="eastAsia" w:ascii="宋体" w:hAnsi="宋体" w:eastAsia="宋体" w:cs="宋体"/>
          <w:snapToGrid w:val="0"/>
          <w:color w:val="000000"/>
          <w:sz w:val="28"/>
          <w:szCs w:val="28"/>
          <w:lang w:val="en-US" w:eastAsia="zh-CN" w:bidi="ar-SA"/>
        </w:rPr>
        <w:t>2023年度省直机关单位绩效清算经费。该项目是年中追加指标，用于发放上一年度省政府绩效考核奖金。该项目经费应到位15.8万元，实际到位15.8万元。实际支付15.8万元，支付执行率100%。</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FF0000"/>
          <w:sz w:val="28"/>
          <w:szCs w:val="28"/>
          <w:lang w:val="en-US" w:eastAsia="zh-CN" w:bidi="ar-SA"/>
        </w:rPr>
      </w:pPr>
      <w:r>
        <w:rPr>
          <w:rFonts w:hint="eastAsia" w:ascii="宋体" w:hAnsi="宋体" w:eastAsia="宋体" w:cs="宋体"/>
          <w:snapToGrid w:val="0"/>
          <w:color w:val="auto"/>
          <w:sz w:val="28"/>
          <w:szCs w:val="28"/>
          <w:lang w:val="en-US" w:eastAsia="zh-CN" w:bidi="ar-SA"/>
        </w:rPr>
        <w:t>2.资金管理。严格执行收支两条线，收入及时入账，支出按照规定的审批程序和标准进行，确保资金的安全和规范使用；通过优化资源配置、提高设备利用率、加强采购管理、控制人员成本等措施，降低运营成本，提高资金使用效益；建立健全财务监督机制，中心纪委定期进行内部检查，对资金的使用情况进行监督和评价，防止资金浪费和违规使用。</w:t>
      </w:r>
    </w:p>
    <w:p>
      <w:pPr>
        <w:keepNext w:val="0"/>
        <w:keepLines w:val="0"/>
        <w:pageBreakBefore w:val="0"/>
        <w:widowControl/>
        <w:numPr>
          <w:ilvl w:val="0"/>
          <w:numId w:val="7"/>
        </w:numPr>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FF0000"/>
          <w:sz w:val="28"/>
          <w:szCs w:val="28"/>
          <w:lang w:val="en-US" w:eastAsia="zh-CN" w:bidi="ar-SA"/>
        </w:rPr>
      </w:pPr>
      <w:r>
        <w:rPr>
          <w:rFonts w:hint="eastAsia" w:ascii="宋体" w:hAnsi="宋体" w:eastAsia="宋体" w:cs="宋体"/>
          <w:snapToGrid w:val="0"/>
          <w:color w:val="FF0000"/>
          <w:sz w:val="28"/>
          <w:szCs w:val="28"/>
          <w:lang w:val="en-US" w:eastAsia="zh-CN" w:bidi="ar-SA"/>
        </w:rPr>
        <w:t>资产和财务管理、政府采购</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snapToGrid w:val="0"/>
          <w:color w:val="auto"/>
          <w:sz w:val="28"/>
          <w:szCs w:val="28"/>
          <w:lang w:val="en-US" w:eastAsia="zh-CN" w:bidi="ar-SA"/>
        </w:rPr>
      </w:pPr>
      <w:r>
        <w:rPr>
          <w:rFonts w:hint="eastAsia" w:ascii="宋体" w:hAnsi="宋体" w:eastAsia="宋体" w:cs="宋体"/>
          <w:snapToGrid w:val="0"/>
          <w:color w:val="FF0000"/>
          <w:sz w:val="28"/>
          <w:szCs w:val="28"/>
          <w:lang w:val="en-US" w:eastAsia="zh-CN" w:bidi="ar-SA"/>
        </w:rPr>
        <w:t xml:space="preserve">    </w:t>
      </w:r>
      <w:r>
        <w:rPr>
          <w:rFonts w:hint="eastAsia" w:ascii="宋体" w:hAnsi="宋体" w:eastAsia="宋体" w:cs="宋体"/>
          <w:snapToGrid w:val="0"/>
          <w:color w:val="auto"/>
          <w:sz w:val="28"/>
          <w:szCs w:val="28"/>
          <w:lang w:val="en-US" w:eastAsia="zh-CN" w:bidi="ar-SA"/>
        </w:rPr>
        <w:t>1.资产情况。我中心2024年底资产总额为4006.82万元，其中固定资产原值69.0.02万元，固定资产净值3588.85万元，无形资产原值38.72万元，无形资产净值17.56万元。</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宋体" w:cs="宋体"/>
          <w:snapToGrid w:val="0"/>
          <w:color w:val="auto"/>
          <w:sz w:val="28"/>
          <w:szCs w:val="28"/>
          <w:lang w:val="en-US" w:eastAsia="zh-CN" w:bidi="ar-SA"/>
        </w:rPr>
      </w:pPr>
      <w:r>
        <w:rPr>
          <w:rFonts w:hint="eastAsia" w:ascii="宋体" w:hAnsi="宋体" w:eastAsia="宋体" w:cs="宋体"/>
          <w:snapToGrid w:val="0"/>
          <w:color w:val="auto"/>
          <w:sz w:val="28"/>
          <w:szCs w:val="28"/>
          <w:lang w:val="en-US" w:eastAsia="zh-CN" w:bidi="ar-SA"/>
        </w:rPr>
        <w:t>2.财务管理。严格执行“无预算不支出”原则，严禁超预算或无预算支出，不得擅自改变预算资金支出用途。建立预算执行进度考核机制，实施预算执行进度通报和监督检查制度，促进预算资金均衡使用；按照预算和活动进度安排各项支出，资金的使用应严格执行国家规定的开支范围和标准，按照授权范围进行审批，据实列报各项费用。加强对专项资金的管理和监督，保证专款专用，严禁挤占、挪用专项资金；明确资产管理范围，根据相关规定对资产合理分类，明确各类资产的归口管理部门，规范资产管理业务流程，落实资产管理责任制度，使各项资产都有相关人员负责；不定期对本单位资产进行清查盘点，确保资产账、财务账、资产实物账账相符、账实相符。对账实不符的资产，除调账外应及时查明原因并予以处理；完善会计核算制度，强化会计监督，保证单位各项活动均符合国家法律法规和内部管理的有关规定，确保对外提供会计信息的真实性、准确性和完整性。</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firstLine="560" w:firstLineChars="200"/>
        <w:textAlignment w:val="auto"/>
        <w:rPr>
          <w:rFonts w:hint="eastAsia" w:ascii="宋体" w:hAnsi="宋体" w:eastAsia="微软雅黑" w:cs="宋体"/>
          <w:snapToGrid w:val="0"/>
          <w:color w:val="auto"/>
          <w:sz w:val="28"/>
          <w:szCs w:val="28"/>
          <w:lang w:val="en-US" w:eastAsia="zh-CN" w:bidi="ar-SA"/>
        </w:rPr>
      </w:pPr>
      <w:r>
        <w:rPr>
          <w:rFonts w:hint="eastAsia" w:ascii="宋体" w:hAnsi="宋体" w:eastAsia="宋体" w:cs="宋体"/>
          <w:snapToGrid w:val="0"/>
          <w:color w:val="auto"/>
          <w:sz w:val="28"/>
          <w:szCs w:val="28"/>
          <w:lang w:val="en-US" w:eastAsia="zh-CN" w:bidi="ar-SA"/>
        </w:rPr>
        <w:t>3.政府采购。结合单位实际采购需求，提前充分理解采购相关文件精神，根据实际需求逐条逐项列出需要采购的货物名称、数量、单价等信息并准确录入采购系统，避免盲目、重复采购；严格按照批准的预算执行采购活动，无预算不采购，凡未编制政府采购预算的，处党委会研究同意外，均不能开展政府采购活动。涉及项目金额需要调整、追加、结转的，均需要按照预算管理权限进行；对于小额零星货物和服务，都是在政采云网站采购。</w:t>
      </w:r>
    </w:p>
    <w:p>
      <w:pPr>
        <w:pStyle w:val="16"/>
        <w:autoSpaceDE/>
        <w:autoSpaceDN/>
        <w:spacing w:line="600" w:lineRule="exact"/>
        <w:ind w:left="0" w:leftChars="0" w:firstLine="560" w:firstLineChars="200"/>
        <w:jc w:val="both"/>
        <w:rPr>
          <w:rFonts w:hint="eastAsia" w:ascii="黑体" w:hAnsi="黑体" w:eastAsia="黑体" w:cs="黑体"/>
          <w:color w:val="auto"/>
          <w:sz w:val="28"/>
          <w:szCs w:val="28"/>
        </w:rPr>
      </w:pPr>
      <w:r>
        <w:rPr>
          <w:rFonts w:hint="eastAsia" w:ascii="黑体" w:hAnsi="黑体" w:eastAsia="黑体" w:cs="黑体"/>
          <w:color w:val="auto"/>
          <w:sz w:val="28"/>
          <w:szCs w:val="28"/>
        </w:rPr>
        <w:t>七、存在的问题及原因分析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一)预算管理不够精细。对全院工作计划了解不够全面，未参考历年来年财政收支、政策变化，预算安排比较不精细。政府预算年度执行过程中，存在指标调整的情况，年初预算编制不够精准，预算执行率总体不太高。</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（二）绩效观念不够深入。绩效理念较薄弱，单位绩效目标编制仍有缺失，需要进一步加强对资金绩效管理的重视程度。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黑体" w:hAnsi="黑体" w:eastAsia="黑体" w:cs="黑体"/>
          <w:color w:val="auto"/>
          <w:sz w:val="28"/>
          <w:szCs w:val="28"/>
        </w:rPr>
      </w:pPr>
      <w:r>
        <w:rPr>
          <w:rFonts w:hint="eastAsia" w:ascii="宋体" w:hAnsi="宋体" w:eastAsia="宋体" w:cs="宋体"/>
          <w:snapToGrid w:val="0"/>
          <w:color w:val="000000"/>
          <w:sz w:val="28"/>
          <w:szCs w:val="28"/>
          <w:lang w:val="en-US" w:eastAsia="zh-CN" w:bidi="ar-SA"/>
        </w:rPr>
        <w:t>（三）绩效规范仍有盲区。在省财政厅逐步加强绩效管理的情况下，我院财务人员尚无现成的经验可以借鉴，只能边工作、边学习、边积累，短期内部分工作只能停留在表面，规划的前瞻性、科学性、指导性和可操作性还有待提高，难以满足当前绩效管理要求。</w:t>
      </w:r>
    </w:p>
    <w:p>
      <w:pPr>
        <w:autoSpaceDE/>
        <w:autoSpaceDN/>
        <w:spacing w:line="600" w:lineRule="exact"/>
        <w:ind w:firstLine="560" w:firstLineChars="200"/>
        <w:jc w:val="both"/>
        <w:rPr>
          <w:rFonts w:hint="eastAsia" w:ascii="黑体" w:hAnsi="黑体" w:eastAsia="黑体" w:cs="黑体"/>
          <w:color w:val="auto"/>
          <w:sz w:val="28"/>
          <w:szCs w:val="28"/>
        </w:rPr>
      </w:pPr>
      <w:r>
        <w:rPr>
          <w:rFonts w:hint="eastAsia" w:ascii="黑体" w:hAnsi="黑体" w:eastAsia="黑体" w:cs="黑体"/>
          <w:color w:val="auto"/>
          <w:sz w:val="28"/>
          <w:szCs w:val="28"/>
        </w:rPr>
        <w:t>八、下一步改进措施</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一)细化整体预算编制。加强全院的预算管理意识，严格按照预算编制的相关制度和要求进行预算编制。全面编制预算项目，优先保障固定性的、相对刚性的费用支出项目，尽量压缩变动性的、有控制空间的费用项目，提高预算编制的科学性、严谨性和可控性。</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 xml:space="preserve"> (二)严格财务管理监督。按照预算规定的费用项目和用途进行资金使用审核、列报支付、财务核算；严格控制“三公”经费的规模和比例，杜绝挪用和挤占其他预算资金行为。</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三）增强绩效管理理念。在管理和使用预算资金的过程中，我院将更加突出资金使用绩效，做到“花钱必问效”。加强与财政绩效科的沟通协调，按照绩效评价原则，开展资金安全性、规范性的监督，确保专项资金的使用符合绩效管理要求。</w:t>
      </w:r>
    </w:p>
    <w:p>
      <w:pPr>
        <w:autoSpaceDE/>
        <w:autoSpaceDN/>
        <w:spacing w:line="600" w:lineRule="exact"/>
        <w:ind w:firstLine="560" w:firstLineChars="200"/>
        <w:jc w:val="both"/>
        <w:rPr>
          <w:rFonts w:hint="eastAsia" w:ascii="黑体" w:hAnsi="黑体" w:eastAsia="黑体" w:cs="黑体"/>
          <w:color w:val="auto"/>
          <w:sz w:val="28"/>
          <w:szCs w:val="28"/>
        </w:rPr>
      </w:pPr>
      <w:r>
        <w:rPr>
          <w:rFonts w:hint="eastAsia" w:ascii="黑体" w:hAnsi="黑体" w:eastAsia="黑体" w:cs="黑体"/>
          <w:color w:val="auto"/>
          <w:sz w:val="28"/>
          <w:szCs w:val="28"/>
        </w:rPr>
        <w:t>九、单位整体支出绩效自评结果拟应用和公开情况</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从预算编制、预算执行、预算管理、职责履行和履职效益等方面综合评价，2024年我院整体支出资金绩效评价得分为100分，预算、决算已按规定公开。</w:t>
      </w:r>
    </w:p>
    <w:p>
      <w:pPr>
        <w:numPr>
          <w:ilvl w:val="0"/>
          <w:numId w:val="0"/>
        </w:numPr>
        <w:autoSpaceDE/>
        <w:autoSpaceDN/>
        <w:spacing w:line="600" w:lineRule="exact"/>
        <w:ind w:left="630" w:leftChars="0"/>
        <w:jc w:val="both"/>
        <w:rPr>
          <w:rFonts w:hint="eastAsia"/>
        </w:rPr>
      </w:pPr>
      <w:r>
        <w:rPr>
          <w:rFonts w:hint="eastAsia" w:ascii="黑体" w:hAnsi="黑体" w:eastAsia="黑体" w:cs="黑体"/>
          <w:color w:val="auto"/>
          <w:sz w:val="28"/>
          <w:szCs w:val="28"/>
          <w:lang w:eastAsia="zh-CN"/>
        </w:rPr>
        <w:t>十、</w:t>
      </w:r>
      <w:r>
        <w:rPr>
          <w:rFonts w:hint="eastAsia" w:ascii="黑体" w:hAnsi="黑体" w:eastAsia="黑体" w:cs="黑体"/>
          <w:color w:val="auto"/>
          <w:sz w:val="28"/>
          <w:szCs w:val="28"/>
        </w:rPr>
        <w:t>其他需要说明的情况</w:t>
      </w:r>
    </w:p>
    <w:p>
      <w:pPr>
        <w:pStyle w:val="2"/>
        <w:bidi w:val="0"/>
        <w:rPr>
          <w:rFonts w:ascii="Times New Roman" w:hAnsi="Times New Roman" w:eastAsia="仿宋_GB2312" w:cs="Times New Roman"/>
          <w:color w:val="auto"/>
          <w:spacing w:val="-2"/>
          <w:sz w:val="32"/>
          <w:szCs w:val="32"/>
        </w:rPr>
      </w:pPr>
      <w:r>
        <w:rPr>
          <w:rFonts w:hint="eastAsia" w:ascii="宋体" w:hAnsi="宋体" w:eastAsia="宋体" w:cs="宋体"/>
          <w:snapToGrid w:val="0"/>
          <w:color w:val="000000"/>
          <w:kern w:val="0"/>
          <w:sz w:val="28"/>
          <w:szCs w:val="28"/>
          <w:lang w:val="en-US" w:eastAsia="zh-CN" w:bidi="ar-SA"/>
        </w:rPr>
        <w:t>暂无其他需要说明的情况。</w:t>
      </w:r>
    </w:p>
    <w:p>
      <w:pPr>
        <w:pStyle w:val="15"/>
        <w:spacing w:line="600" w:lineRule="exact"/>
        <w:ind w:firstLine="640" w:firstLineChars="200"/>
        <w:rPr>
          <w:rFonts w:ascii="Times New Roman" w:hAnsi="Times New Roman" w:eastAsia="仿宋_GB2312" w:cs="Times New Roman"/>
          <w:sz w:val="32"/>
          <w:szCs w:val="3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1DF05"/>
    <w:multiLevelType w:val="singleLevel"/>
    <w:tmpl w:val="9D21DF05"/>
    <w:lvl w:ilvl="0" w:tentative="0">
      <w:start w:val="10"/>
      <w:numFmt w:val="decimal"/>
      <w:suff w:val="nothing"/>
      <w:lvlText w:val="%1、"/>
      <w:lvlJc w:val="left"/>
    </w:lvl>
  </w:abstractNum>
  <w:abstractNum w:abstractNumId="1">
    <w:nsid w:val="C5827EC9"/>
    <w:multiLevelType w:val="singleLevel"/>
    <w:tmpl w:val="C5827EC9"/>
    <w:lvl w:ilvl="0" w:tentative="0">
      <w:start w:val="1"/>
      <w:numFmt w:val="chineseCounting"/>
      <w:suff w:val="nothing"/>
      <w:lvlText w:val="%1、"/>
      <w:lvlJc w:val="left"/>
      <w:rPr>
        <w:rFonts w:hint="eastAsia"/>
      </w:rPr>
    </w:lvl>
  </w:abstractNum>
  <w:abstractNum w:abstractNumId="2">
    <w:nsid w:val="E4C3F458"/>
    <w:multiLevelType w:val="singleLevel"/>
    <w:tmpl w:val="E4C3F458"/>
    <w:lvl w:ilvl="0" w:tentative="0">
      <w:start w:val="2"/>
      <w:numFmt w:val="chineseCounting"/>
      <w:suff w:val="nothing"/>
      <w:lvlText w:val="（%1）"/>
      <w:lvlJc w:val="left"/>
      <w:rPr>
        <w:rFonts w:hint="eastAsia"/>
      </w:rPr>
    </w:lvl>
  </w:abstractNum>
  <w:abstractNum w:abstractNumId="3">
    <w:nsid w:val="F3F7623F"/>
    <w:multiLevelType w:val="singleLevel"/>
    <w:tmpl w:val="F3F7623F"/>
    <w:lvl w:ilvl="0" w:tentative="0">
      <w:start w:val="5"/>
      <w:numFmt w:val="chineseCounting"/>
      <w:suff w:val="nothing"/>
      <w:lvlText w:val="（%1）"/>
      <w:lvlJc w:val="left"/>
      <w:rPr>
        <w:rFonts w:hint="eastAsia"/>
      </w:rPr>
    </w:lvl>
  </w:abstractNum>
  <w:abstractNum w:abstractNumId="4">
    <w:nsid w:val="2158AD85"/>
    <w:multiLevelType w:val="singleLevel"/>
    <w:tmpl w:val="2158AD85"/>
    <w:lvl w:ilvl="0" w:tentative="0">
      <w:start w:val="6"/>
      <w:numFmt w:val="decimal"/>
      <w:suff w:val="nothing"/>
      <w:lvlText w:val="%1、"/>
      <w:lvlJc w:val="left"/>
    </w:lvl>
  </w:abstractNum>
  <w:abstractNum w:abstractNumId="5">
    <w:nsid w:val="335F0AD9"/>
    <w:multiLevelType w:val="singleLevel"/>
    <w:tmpl w:val="335F0AD9"/>
    <w:lvl w:ilvl="0" w:tentative="0">
      <w:start w:val="3"/>
      <w:numFmt w:val="chineseCounting"/>
      <w:suff w:val="nothing"/>
      <w:lvlText w:val="（%1）"/>
      <w:lvlJc w:val="left"/>
      <w:rPr>
        <w:rFonts w:hint="eastAsia"/>
      </w:rPr>
    </w:lvl>
  </w:abstractNum>
  <w:abstractNum w:abstractNumId="6">
    <w:nsid w:val="6F1C04E4"/>
    <w:multiLevelType w:val="singleLevel"/>
    <w:tmpl w:val="6F1C04E4"/>
    <w:lvl w:ilvl="0" w:tentative="0">
      <w:start w:val="4"/>
      <w:numFmt w:val="chineseCounting"/>
      <w:suff w:val="nothing"/>
      <w:lvlText w:val="%1、"/>
      <w:lvlJc w:val="left"/>
      <w:rPr>
        <w:rFonts w:hint="eastAsia"/>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35135"/>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A3088B"/>
    <w:rsid w:val="062F07EF"/>
    <w:rsid w:val="06832203"/>
    <w:rsid w:val="07CC09EB"/>
    <w:rsid w:val="090C33A6"/>
    <w:rsid w:val="0A081A83"/>
    <w:rsid w:val="0A5E51A8"/>
    <w:rsid w:val="0B1D50BA"/>
    <w:rsid w:val="0BA852CC"/>
    <w:rsid w:val="0CA041F5"/>
    <w:rsid w:val="0E75778E"/>
    <w:rsid w:val="0E8C4A31"/>
    <w:rsid w:val="0FFE370C"/>
    <w:rsid w:val="10EC17B7"/>
    <w:rsid w:val="178D5376"/>
    <w:rsid w:val="194B4244"/>
    <w:rsid w:val="198527A8"/>
    <w:rsid w:val="19FB3199"/>
    <w:rsid w:val="1AB75F10"/>
    <w:rsid w:val="1C9E76A5"/>
    <w:rsid w:val="1D063C00"/>
    <w:rsid w:val="1D97DEFF"/>
    <w:rsid w:val="1DB47B32"/>
    <w:rsid w:val="1DFF72E5"/>
    <w:rsid w:val="1E4A0464"/>
    <w:rsid w:val="1EFC6F07"/>
    <w:rsid w:val="20DD55C0"/>
    <w:rsid w:val="211440DE"/>
    <w:rsid w:val="219519F6"/>
    <w:rsid w:val="21F7620D"/>
    <w:rsid w:val="23B75C54"/>
    <w:rsid w:val="25BA5ED0"/>
    <w:rsid w:val="26361BB2"/>
    <w:rsid w:val="263802CB"/>
    <w:rsid w:val="26F65ED9"/>
    <w:rsid w:val="2CE122F1"/>
    <w:rsid w:val="2DE749E2"/>
    <w:rsid w:val="2FDF85B8"/>
    <w:rsid w:val="2FFFEE04"/>
    <w:rsid w:val="3107033C"/>
    <w:rsid w:val="33BE4DDD"/>
    <w:rsid w:val="34C71A6F"/>
    <w:rsid w:val="34DF85B0"/>
    <w:rsid w:val="35F920FC"/>
    <w:rsid w:val="37737C8C"/>
    <w:rsid w:val="39D07613"/>
    <w:rsid w:val="3B8F36BC"/>
    <w:rsid w:val="3CA56B3A"/>
    <w:rsid w:val="3DBF00CF"/>
    <w:rsid w:val="3E171CB9"/>
    <w:rsid w:val="3E7C1B1C"/>
    <w:rsid w:val="3E854E75"/>
    <w:rsid w:val="3F9904AC"/>
    <w:rsid w:val="3FAF7CCF"/>
    <w:rsid w:val="41D67795"/>
    <w:rsid w:val="447C0AC8"/>
    <w:rsid w:val="47537AE8"/>
    <w:rsid w:val="491FF225"/>
    <w:rsid w:val="4BF30F0E"/>
    <w:rsid w:val="4EA40C60"/>
    <w:rsid w:val="4FFD214C"/>
    <w:rsid w:val="513D2B25"/>
    <w:rsid w:val="53346A12"/>
    <w:rsid w:val="56D025AE"/>
    <w:rsid w:val="56E12A0D"/>
    <w:rsid w:val="5777D4F5"/>
    <w:rsid w:val="57C87729"/>
    <w:rsid w:val="597162CA"/>
    <w:rsid w:val="59DD8326"/>
    <w:rsid w:val="5B12588A"/>
    <w:rsid w:val="5C723A3B"/>
    <w:rsid w:val="5C7D5FCF"/>
    <w:rsid w:val="5CF52519"/>
    <w:rsid w:val="5DEF592A"/>
    <w:rsid w:val="5F2E35DE"/>
    <w:rsid w:val="5F5703B8"/>
    <w:rsid w:val="5FC6BB1E"/>
    <w:rsid w:val="5FF720F1"/>
    <w:rsid w:val="60B44CEE"/>
    <w:rsid w:val="621E412A"/>
    <w:rsid w:val="63780255"/>
    <w:rsid w:val="64594E8B"/>
    <w:rsid w:val="656C203B"/>
    <w:rsid w:val="67C10A7D"/>
    <w:rsid w:val="67FF5C0B"/>
    <w:rsid w:val="6A721EA2"/>
    <w:rsid w:val="6B1A35C7"/>
    <w:rsid w:val="6B370CF5"/>
    <w:rsid w:val="6E892BA7"/>
    <w:rsid w:val="6EC46A44"/>
    <w:rsid w:val="6EFC0924"/>
    <w:rsid w:val="6F282B2F"/>
    <w:rsid w:val="6F3753FD"/>
    <w:rsid w:val="6FB74722"/>
    <w:rsid w:val="6FEF8B7E"/>
    <w:rsid w:val="71A6591B"/>
    <w:rsid w:val="737D59BA"/>
    <w:rsid w:val="74681C20"/>
    <w:rsid w:val="74B310ED"/>
    <w:rsid w:val="74BB61F3"/>
    <w:rsid w:val="75260BD6"/>
    <w:rsid w:val="77585F7B"/>
    <w:rsid w:val="77BE6726"/>
    <w:rsid w:val="77C37683"/>
    <w:rsid w:val="78E73A5B"/>
    <w:rsid w:val="79A501FE"/>
    <w:rsid w:val="79D19834"/>
    <w:rsid w:val="79FF515B"/>
    <w:rsid w:val="7E9E1962"/>
    <w:rsid w:val="7E9F11B4"/>
    <w:rsid w:val="7EB919F5"/>
    <w:rsid w:val="7F37EC1E"/>
    <w:rsid w:val="7F5D3C8D"/>
    <w:rsid w:val="7F7DCD9D"/>
    <w:rsid w:val="7F970A6F"/>
    <w:rsid w:val="7FA55310"/>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BCF7AD0"/>
    <w:rsid w:val="FC7AC80F"/>
    <w:rsid w:val="FCFF4275"/>
    <w:rsid w:val="FD7F919C"/>
    <w:rsid w:val="FD7FEEEA"/>
    <w:rsid w:val="FDFFB577"/>
    <w:rsid w:val="FEEA50FE"/>
    <w:rsid w:val="FEFE5875"/>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0" w:afterAutospacing="0"/>
      <w:jc w:val="both"/>
      <w:outlineLvl w:val="0"/>
    </w:pPr>
    <w:rPr>
      <w:rFonts w:ascii="Times New Roman" w:hAnsi="Times New Roman" w:eastAsia="黑体" w:cs="Times New Roman"/>
      <w:snapToGrid w:val="0"/>
      <w:color w:val="000000"/>
      <w:kern w:val="44"/>
      <w:sz w:val="32"/>
      <w:szCs w:val="21"/>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1270</Words>
  <Characters>1286</Characters>
  <Lines>69</Lines>
  <Paragraphs>19</Paragraphs>
  <TotalTime>1</TotalTime>
  <ScaleCrop>false</ScaleCrop>
  <LinksUpToDate>false</LinksUpToDate>
  <CharactersWithSpaces>1369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2025-08-19T10:17:00Z</dcterms:created>
  <dc:creator>李航 null</dc:creator>
  <cp:lastModifiedBy>kylin</cp:lastModifiedBy>
  <cp:lastPrinted>2025-09-12T02:15:00Z</cp:lastPrinted>
  <dcterms:modified xsi:type="dcterms:W3CDTF">2025-09-28T09:04:10Z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BB7B6AA21D207914D6FDA268992A22D6</vt:lpwstr>
  </property>
  <property fmtid="{D5CDD505-2E9C-101B-9397-08002B2CF9AE}" pid="4" name="KSOTemplateDocerSaveRecord">
    <vt:lpwstr>eyJoZGlkIjoiYTQ4ZDMzM2VmNjkyZmUzNjcxZDk0ZjczOGY5NDBiMDgiLCJ1c2VySWQiOiI2MjQyMTQxNzEifQ==</vt:lpwstr>
  </property>
</Properties>
</file>