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国家知识产权局专利局长沙代办处单位</w:t>
      </w:r>
      <w:r>
        <w:rPr>
          <w:rFonts w:ascii="Times New Roman" w:hAnsi="Times New Roman" w:eastAsia="方正小标宋简体" w:cs="Times New Roman"/>
          <w:sz w:val="72"/>
          <w:szCs w:val="72"/>
        </w:rPr>
        <w:t>决算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国家知识产权局专利局长沙代办处</w:t>
      </w:r>
      <w:r>
        <w:rPr>
          <w:rFonts w:ascii="Times New Roman" w:hAnsi="Times New Roman" w:cs="Times New Roman"/>
          <w:bCs/>
          <w:sz w:val="32"/>
          <w:szCs w:val="32"/>
        </w:rPr>
        <w:t>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国家知识产权局专利局长沙代办处</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职责</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为机关提供支持保障的职能</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1.依据专利法及相关法规规章的规定和国家知识产权局的委托，代表国务院专利行政部门为权利人和社会公众办理专利申请与运用相关工作，承担协助专利办理、指导、咨询等相关事务性工作。</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2.承担国家知识产权局商标局授权或委托的商标业务及相关服务性工作。</w:t>
      </w:r>
    </w:p>
    <w:p>
      <w:pPr>
        <w:spacing w:line="600" w:lineRule="exact"/>
        <w:ind w:firstLine="800" w:firstLineChars="25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bCs/>
          <w:kern w:val="0"/>
          <w:sz w:val="32"/>
          <w:szCs w:val="32"/>
          <w:lang w:val="en-US" w:eastAsia="zh-CN"/>
        </w:rPr>
        <w:t>承担中央军委装备发展部国防知识产权局授权或委托的国防知识产权业务及相关服务性工作。受理国防专利申请及相关业务咨询。</w:t>
      </w:r>
    </w:p>
    <w:p>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面向社会提供公益服务的职能</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1.受理商标注册申请、商标注销申请、商标续展注册申请、商标使用许可备案、注册商标专用权质权登记等相关事务性工作。</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2.提供专利、商标申请办理相关业务咨询。</w:t>
      </w:r>
    </w:p>
    <w:p>
      <w:pPr>
        <w:spacing w:line="600" w:lineRule="exact"/>
        <w:ind w:firstLine="1120" w:firstLineChars="3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完成省市场监督管理局交办的其他任务。</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国家知识产权局专利局长沙代办处</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综合组、业务一组、业务二组。</w:t>
      </w:r>
    </w:p>
    <w:p>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国家知识产权局专利局长沙代办处</w:t>
      </w:r>
      <w:r>
        <w:rPr>
          <w:rFonts w:ascii="Times New Roman" w:hAnsi="Times New Roman" w:eastAsia="仿宋_GB2312" w:cs="Times New Roman"/>
          <w:bCs/>
          <w:kern w:val="0"/>
          <w:sz w:val="32"/>
          <w:szCs w:val="32"/>
        </w:rPr>
        <w:t>2024年</w:t>
      </w:r>
      <w:r>
        <w:rPr>
          <w:rFonts w:hint="eastAsia" w:ascii="Times New Roman" w:hAnsi="Times New Roman" w:eastAsia="仿宋_GB2312" w:cs="Times New Roman"/>
          <w:bCs/>
          <w:kern w:val="0"/>
          <w:sz w:val="32"/>
          <w:szCs w:val="32"/>
          <w:lang w:eastAsia="zh-CN"/>
        </w:rPr>
        <w:t>单位</w:t>
      </w:r>
      <w:r>
        <w:rPr>
          <w:rFonts w:ascii="Times New Roman" w:hAnsi="Times New Roman" w:eastAsia="仿宋_GB2312" w:cs="Times New Roman"/>
          <w:bCs/>
          <w:kern w:val="0"/>
          <w:sz w:val="32"/>
          <w:szCs w:val="32"/>
        </w:rPr>
        <w:t>决算汇总公开单位构成包括：</w:t>
      </w:r>
      <w:r>
        <w:rPr>
          <w:rFonts w:hint="eastAsia" w:ascii="Times New Roman" w:hAnsi="Times New Roman" w:eastAsia="仿宋_GB2312" w:cs="Times New Roman"/>
          <w:bCs/>
          <w:kern w:val="0"/>
          <w:sz w:val="32"/>
          <w:szCs w:val="32"/>
        </w:rPr>
        <w:t>国家知识产权局专利局长沙代办处本级。</w:t>
      </w: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决算表</w:t>
      </w:r>
    </w:p>
    <w:tbl>
      <w:tblPr>
        <w:tblStyle w:val="11"/>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1"/>
        <w:gridCol w:w="829"/>
        <w:gridCol w:w="1107"/>
        <w:gridCol w:w="4442"/>
        <w:gridCol w:w="829"/>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07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注：1.本表反映单位本年度的总收支和年末结转结余情况。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3736"/>
        <w:gridCol w:w="1314"/>
        <w:gridCol w:w="1314"/>
        <w:gridCol w:w="1315"/>
        <w:gridCol w:w="1315"/>
        <w:gridCol w:w="1315"/>
        <w:gridCol w:w="131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3"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3"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1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329.62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224.58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其他知识产权事务支出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w:t>
            </w:r>
          </w:p>
        </w:tc>
      </w:tr>
    </w:tbl>
    <w:p>
      <w:pPr>
        <w:pStyle w:val="3"/>
        <w:ind w:left="0" w:leftChars="0" w:firstLine="0" w:firstLineChars="0"/>
        <w:rPr>
          <w:rFonts w:ascii="Times New Roman" w:hAnsi="Times New Roman" w:eastAsia="方正小标宋_GBK" w:cs="Times New Roman"/>
          <w:color w:val="000000"/>
          <w:kern w:val="0"/>
          <w:sz w:val="36"/>
          <w:szCs w:val="36"/>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6"/>
        <w:gridCol w:w="4186"/>
        <w:gridCol w:w="1502"/>
        <w:gridCol w:w="1502"/>
        <w:gridCol w:w="1502"/>
        <w:gridCol w:w="1251"/>
        <w:gridCol w:w="1251"/>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1"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74"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1"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5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74"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382.09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281.85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100.24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348.92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2011499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其他知识产权事务支出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8"/>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注：本表反映单位本年度各项支出情况。</w:t>
            </w:r>
          </w:p>
        </w:tc>
      </w:tr>
    </w:tbl>
    <w:p>
      <w:pPr>
        <w:pStyle w:val="3"/>
        <w:ind w:left="0" w:leftChars="0" w:firstLine="0" w:firstLineChars="0"/>
        <w:rPr>
          <w:rFonts w:ascii="Times New Roman" w:hAnsi="Times New Roman" w:eastAsia="方正小标宋_GBK" w:cs="Times New Roman"/>
          <w:color w:val="000000"/>
          <w:kern w:val="0"/>
          <w:sz w:val="36"/>
          <w:szCs w:val="36"/>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467"/>
        <w:gridCol w:w="1227"/>
        <w:gridCol w:w="3516"/>
        <w:gridCol w:w="467"/>
        <w:gridCol w:w="831"/>
        <w:gridCol w:w="1224"/>
        <w:gridCol w:w="1012"/>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1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08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242.86</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224.58</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276.03</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47.69</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99.14</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323.72</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323.72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323.72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w:t>
            </w:r>
          </w:p>
        </w:tc>
      </w:tr>
    </w:tbl>
    <w:p>
      <w:pPr>
        <w:autoSpaceDE w:val="0"/>
        <w:autoSpaceDN w:val="0"/>
        <w:adjustRightInd w:val="0"/>
        <w:jc w:val="left"/>
        <w:rPr>
          <w:rFonts w:ascii="Times New Roman" w:hAnsi="Times New Roman" w:eastAsia="宋体" w:cs="Times New Roman"/>
          <w:kern w:val="0"/>
          <w:sz w:val="24"/>
          <w:szCs w:val="24"/>
        </w:rPr>
      </w:pPr>
    </w:p>
    <w:p>
      <w:pPr>
        <w:widowControl/>
        <w:spacing w:after="156" w:afterLines="50"/>
        <w:jc w:val="center"/>
        <w:textAlignment w:val="center"/>
        <w:rPr>
          <w:rFonts w:ascii="Times New Roman" w:hAnsi="Times New Roman" w:eastAsia="宋体" w:cs="Times New Roman"/>
          <w:kern w:val="0"/>
          <w:sz w:val="24"/>
          <w:szCs w:val="24"/>
        </w:rPr>
      </w:pPr>
    </w:p>
    <w:p>
      <w:pPr>
        <w:widowControl/>
        <w:spacing w:after="156" w:afterLines="50"/>
        <w:jc w:val="center"/>
        <w:textAlignment w:val="center"/>
        <w:rPr>
          <w:rFonts w:ascii="Times New Roman" w:hAnsi="Times New Roman" w:eastAsia="宋体" w:cs="Times New Roman"/>
          <w:kern w:val="0"/>
          <w:sz w:val="24"/>
          <w:szCs w:val="24"/>
        </w:rPr>
      </w:pPr>
    </w:p>
    <w:p>
      <w:pPr>
        <w:widowControl/>
        <w:spacing w:after="156" w:afterLines="50"/>
        <w:jc w:val="center"/>
        <w:textAlignment w:val="center"/>
        <w:rPr>
          <w:rFonts w:ascii="Times New Roman" w:hAnsi="Times New Roman" w:eastAsia="宋体" w:cs="Times New Roman"/>
          <w:kern w:val="0"/>
          <w:sz w:val="24"/>
          <w:szCs w:val="24"/>
        </w:rPr>
      </w:pPr>
    </w:p>
    <w:p>
      <w:pPr>
        <w:pStyle w:val="2"/>
        <w:rPr>
          <w:rFonts w:ascii="Times New Roman" w:hAnsi="Times New Roman" w:eastAsia="宋体" w:cs="Times New Roman"/>
          <w:kern w:val="0"/>
          <w:sz w:val="24"/>
          <w:szCs w:val="24"/>
        </w:rPr>
      </w:pPr>
    </w:p>
    <w:p>
      <w:pPr>
        <w:pStyle w:val="3"/>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pStyle w:val="2"/>
        <w:rPr>
          <w:rFonts w:ascii="Times New Roman" w:hAnsi="Times New Roman" w:eastAsia="宋体" w:cs="Times New Roman"/>
          <w:kern w:val="0"/>
          <w:sz w:val="24"/>
          <w:szCs w:val="24"/>
        </w:rPr>
      </w:pPr>
    </w:p>
    <w:p>
      <w:pPr>
        <w:pStyle w:val="3"/>
        <w:rPr>
          <w:rFonts w:ascii="Times New Roman" w:hAnsi="Times New Roman" w:eastAsia="宋体" w:cs="Times New Roman"/>
          <w:kern w:val="0"/>
          <w:sz w:val="24"/>
          <w:szCs w:val="24"/>
        </w:rPr>
      </w:pPr>
    </w:p>
    <w:p/>
    <w:p>
      <w:pPr>
        <w:widowControl/>
        <w:spacing w:after="156" w:afterLines="50"/>
        <w:jc w:val="center"/>
        <w:textAlignment w:val="center"/>
        <w:rPr>
          <w:rFonts w:ascii="Times New Roman" w:hAnsi="Times New Roman" w:eastAsia="宋体" w:cs="Times New Roman"/>
          <w:kern w:val="0"/>
          <w:sz w:val="24"/>
          <w:szCs w:val="24"/>
        </w:rPr>
      </w:pPr>
    </w:p>
    <w:p>
      <w:pPr>
        <w:autoSpaceDE w:val="0"/>
        <w:autoSpaceDN w:val="0"/>
        <w:adjustRightInd w:val="0"/>
        <w:ind w:left="315" w:leftChars="150"/>
        <w:jc w:val="left"/>
      </w:pPr>
    </w:p>
    <w:p>
      <w:pPr>
        <w:autoSpaceDE w:val="0"/>
        <w:autoSpaceDN w:val="0"/>
        <w:adjustRightInd w:val="0"/>
        <w:jc w:val="left"/>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222"/>
        <w:gridCol w:w="222"/>
        <w:gridCol w:w="3736"/>
        <w:gridCol w:w="1992"/>
        <w:gridCol w:w="1992"/>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48"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276.03</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175.79</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142.62</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2011499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其他知识产权事务支出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142.62</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142.62</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w:t>
            </w:r>
          </w:p>
        </w:tc>
      </w:tr>
    </w:tbl>
    <w:p>
      <w:pPr>
        <w:autoSpaceDE w:val="0"/>
        <w:autoSpaceDN w:val="0"/>
        <w:adjustRightInd w:val="0"/>
        <w:jc w:val="left"/>
      </w:pPr>
    </w:p>
    <w:p>
      <w:pPr>
        <w:autoSpaceDE w:val="0"/>
        <w:autoSpaceDN w:val="0"/>
        <w:adjustRightInd w:val="0"/>
        <w:ind w:left="315" w:leftChars="150"/>
        <w:jc w:val="left"/>
      </w:pPr>
    </w:p>
    <w:p>
      <w:pPr>
        <w:autoSpaceDE w:val="0"/>
        <w:autoSpaceDN w:val="0"/>
        <w:adjustRightInd w:val="0"/>
        <w:ind w:left="315" w:leftChars="150"/>
        <w:jc w:val="left"/>
      </w:pPr>
    </w:p>
    <w:tbl>
      <w:tblPr>
        <w:tblStyle w:val="11"/>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2640"/>
        <w:gridCol w:w="975"/>
        <w:gridCol w:w="990"/>
        <w:gridCol w:w="2490"/>
        <w:gridCol w:w="975"/>
        <w:gridCol w:w="1110"/>
        <w:gridCol w:w="264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0"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4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1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0"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单位：国家知识产权局专利局长沙代办处</w:t>
            </w: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4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1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141.53</w:t>
            </w:r>
          </w:p>
        </w:tc>
        <w:tc>
          <w:tcPr>
            <w:tcW w:w="8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05" w:type="dxa"/>
            <w:gridSpan w:val="9"/>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w:t>
            </w:r>
          </w:p>
        </w:tc>
      </w:tr>
    </w:tbl>
    <w:p>
      <w:pPr>
        <w:autoSpaceDE w:val="0"/>
        <w:autoSpaceDN w:val="0"/>
        <w:adjustRightInd w:val="0"/>
        <w:jc w:val="left"/>
      </w:pPr>
    </w:p>
    <w:p>
      <w:pPr>
        <w:pStyle w:val="2"/>
      </w:pPr>
    </w:p>
    <w:p>
      <w:pPr>
        <w:autoSpaceDE w:val="0"/>
        <w:autoSpaceDN w:val="0"/>
        <w:adjustRightInd w:val="0"/>
        <w:ind w:left="315" w:leftChars="150"/>
        <w:jc w:val="left"/>
      </w:pPr>
    </w:p>
    <w:p>
      <w:pPr>
        <w:autoSpaceDE w:val="0"/>
        <w:autoSpaceDN w:val="0"/>
        <w:adjustRightInd w:val="0"/>
        <w:ind w:left="315" w:leftChars="150"/>
        <w:jc w:val="left"/>
      </w:pPr>
    </w:p>
    <w:p>
      <w:pPr>
        <w:autoSpaceDE w:val="0"/>
        <w:autoSpaceDN w:val="0"/>
        <w:adjustRightInd w:val="0"/>
        <w:ind w:left="315" w:leftChars="150"/>
        <w:jc w:val="left"/>
      </w:pPr>
    </w:p>
    <w:p>
      <w:pPr>
        <w:autoSpaceDE w:val="0"/>
        <w:autoSpaceDN w:val="0"/>
        <w:adjustRightInd w:val="0"/>
        <w:ind w:left="315" w:leftChars="150"/>
        <w:jc w:val="left"/>
      </w:pPr>
    </w:p>
    <w:p>
      <w:pPr>
        <w:autoSpaceDE w:val="0"/>
        <w:autoSpaceDN w:val="0"/>
        <w:adjustRightInd w:val="0"/>
        <w:ind w:left="315" w:leftChars="150"/>
        <w:jc w:val="left"/>
      </w:pPr>
    </w:p>
    <w:p>
      <w:pPr>
        <w:autoSpaceDE w:val="0"/>
        <w:autoSpaceDN w:val="0"/>
        <w:adjustRightInd w:val="0"/>
        <w:ind w:left="315" w:leftChars="150"/>
        <w:jc w:val="left"/>
      </w:pPr>
    </w:p>
    <w:p>
      <w:pPr>
        <w:pStyle w:val="2"/>
      </w:pPr>
    </w:p>
    <w:p>
      <w:pPr>
        <w:pStyle w:val="3"/>
      </w:pPr>
    </w:p>
    <w:p/>
    <w:p>
      <w:pPr>
        <w:pStyle w:val="2"/>
      </w:pPr>
    </w:p>
    <w:p>
      <w:pPr>
        <w:pStyle w:val="3"/>
      </w:pPr>
    </w:p>
    <w:p/>
    <w:p>
      <w:pPr>
        <w:pStyle w:val="2"/>
      </w:pPr>
    </w:p>
    <w:p>
      <w:pPr>
        <w:pStyle w:val="3"/>
      </w:pPr>
    </w:p>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6"/>
        <w:gridCol w:w="222"/>
        <w:gridCol w:w="222"/>
        <w:gridCol w:w="1096"/>
        <w:gridCol w:w="451"/>
        <w:gridCol w:w="452"/>
        <w:gridCol w:w="455"/>
        <w:gridCol w:w="455"/>
        <w:gridCol w:w="45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9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pPr>
    </w:p>
    <w:p>
      <w:pPr>
        <w:pStyle w:val="3"/>
      </w:pPr>
    </w:p>
    <w:p/>
    <w:p>
      <w:pPr>
        <w:pStyle w:val="2"/>
      </w:pPr>
    </w:p>
    <w:p>
      <w:pPr>
        <w:pStyle w:val="3"/>
      </w:pPr>
    </w:p>
    <w:p/>
    <w:p>
      <w:pPr>
        <w:pStyle w:val="2"/>
      </w:pPr>
    </w:p>
    <w:p>
      <w:pPr>
        <w:pStyle w:val="3"/>
      </w:pPr>
    </w:p>
    <w:p/>
    <w:p>
      <w:pPr>
        <w:pStyle w:val="2"/>
      </w:pPr>
    </w:p>
    <w:p>
      <w:pPr>
        <w:pStyle w:val="3"/>
      </w:pPr>
    </w:p>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6"/>
        <w:gridCol w:w="222"/>
        <w:gridCol w:w="222"/>
        <w:gridCol w:w="1096"/>
        <w:gridCol w:w="1415"/>
        <w:gridCol w:w="1645"/>
        <w:gridCol w:w="2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28"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5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说明：我单位没有使用国有资本经营预算安排的支出，故本表无数据。</w:t>
            </w: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1078"/>
        <w:gridCol w:w="887"/>
        <w:gridCol w:w="657"/>
        <w:gridCol w:w="884"/>
        <w:gridCol w:w="887"/>
        <w:gridCol w:w="884"/>
        <w:gridCol w:w="1079"/>
        <w:gridCol w:w="885"/>
        <w:gridCol w:w="658"/>
        <w:gridCol w:w="888"/>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7" w:type="pct"/>
            <w:gridSpan w:val="3"/>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单位：国家知识产权局专利局长沙代办处</w:t>
            </w:r>
          </w:p>
        </w:tc>
        <w:tc>
          <w:tcPr>
            <w:tcW w:w="4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1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注：本表反映单位本年度财政拨款“三公”经费支出预决算情况。其中，预算数为“三公”经费全年预算数，反映按规定程序调整后的预算数；决算数是包括当年财政拨款和以前年度结转资金安排的实际支出。</w:t>
            </w:r>
          </w:p>
        </w:tc>
      </w:tr>
    </w:tbl>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429.80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68.94</w:t>
      </w:r>
      <w:r>
        <w:rPr>
          <w:rFonts w:hint="eastAsia"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13.82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因为</w:t>
      </w:r>
      <w:r>
        <w:rPr>
          <w:rFonts w:hint="eastAsia" w:ascii="Times New Roman" w:hAnsi="Times New Roman" w:eastAsia="仿宋_GB2312" w:cs="Times New Roman"/>
          <w:sz w:val="32"/>
          <w:szCs w:val="32"/>
          <w:lang w:val="en-US" w:eastAsia="zh-CN"/>
        </w:rPr>
        <w:t>2023年下达了专利转化服务平台支撑项目经费，2024年没有此项经费预算。</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329.62</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财政拨款收入</w:t>
      </w:r>
      <w:r>
        <w:rPr>
          <w:rFonts w:hint="eastAsia" w:ascii="Times New Roman" w:hAnsi="Times New Roman" w:eastAsia="仿宋_GB2312" w:cs="Times New Roman"/>
          <w:sz w:val="32"/>
          <w:szCs w:val="32"/>
          <w:lang w:val="en-US" w:eastAsia="zh-CN"/>
        </w:rPr>
        <w:t>224.58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68.13</w:t>
      </w:r>
      <w:r>
        <w:rPr>
          <w:rFonts w:hint="eastAsia"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105.04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31.87</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382.09</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281.85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73.77</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100.24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26.23</w:t>
      </w:r>
      <w:r>
        <w:rPr>
          <w:rFonts w:hint="eastAsia"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323.72</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50.47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13.49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2023年下达了专利转化服务平台支撑项目经费，2024年没有此项经费预算。</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276.03</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占本年支出合计的</w:t>
      </w:r>
      <w:r>
        <w:rPr>
          <w:rFonts w:hint="eastAsia" w:ascii="Times New Roman" w:hAnsi="Times New Roman" w:eastAsia="仿宋_GB2312" w:cs="Times New Roman"/>
          <w:sz w:val="32"/>
          <w:szCs w:val="32"/>
          <w:lang w:val="en-US" w:eastAsia="zh-CN"/>
        </w:rPr>
        <w:t>72.24</w:t>
      </w:r>
      <w:r>
        <w:rPr>
          <w:rFonts w:hint="eastAsia"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21.46</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8.43</w:t>
      </w:r>
      <w:r>
        <w:rPr>
          <w:rFonts w:hint="eastAsia" w:ascii="Times New Roman" w:hAnsi="Times New Roman" w:eastAsia="仿宋_GB2312" w:cs="Times New Roman"/>
          <w:sz w:val="32"/>
          <w:szCs w:val="32"/>
        </w:rPr>
        <w:t>%，主要</w:t>
      </w:r>
      <w:r>
        <w:rPr>
          <w:rFonts w:hint="eastAsia" w:ascii="Times New Roman" w:hAnsi="Times New Roman" w:eastAsia="仿宋_GB2312" w:cs="Times New Roman"/>
          <w:sz w:val="32"/>
          <w:szCs w:val="32"/>
          <w:lang w:eastAsia="zh-CN"/>
        </w:rPr>
        <w:t>原因</w:t>
      </w:r>
      <w:r>
        <w:rPr>
          <w:rFonts w:hint="eastAsia"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专利转化服务平台支撑项目经费主要在2024年开支。</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276.03</w:t>
      </w:r>
      <w:r>
        <w:rPr>
          <w:rFonts w:hint="eastAsia"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242.86</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87.98</w:t>
      </w:r>
      <w:r>
        <w:rPr>
          <w:rFonts w:hint="eastAsia" w:ascii="Times New Roman" w:hAnsi="Times New Roman" w:eastAsia="仿宋_GB2312" w:cs="Times New Roman"/>
          <w:sz w:val="32"/>
          <w:szCs w:val="32"/>
        </w:rPr>
        <w:t>%；社会保障和就业（类）支出</w:t>
      </w:r>
      <w:r>
        <w:rPr>
          <w:rFonts w:hint="eastAsia" w:ascii="Times New Roman" w:hAnsi="Times New Roman" w:eastAsia="仿宋_GB2312" w:cs="Times New Roman"/>
          <w:sz w:val="32"/>
          <w:szCs w:val="32"/>
          <w:lang w:val="en-US" w:eastAsia="zh-CN"/>
        </w:rPr>
        <w:t>14.12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5.12%</w:t>
      </w:r>
      <w:r>
        <w:rPr>
          <w:rFonts w:hint="eastAsia" w:ascii="Times New Roman" w:hAnsi="Times New Roman" w:eastAsia="仿宋_GB2312" w:cs="Times New Roman"/>
          <w:sz w:val="32"/>
          <w:szCs w:val="32"/>
        </w:rPr>
        <w:t>；卫生健康（类）支出</w:t>
      </w:r>
      <w:r>
        <w:rPr>
          <w:rFonts w:hint="eastAsia" w:ascii="Times New Roman" w:hAnsi="Times New Roman" w:eastAsia="仿宋_GB2312" w:cs="Times New Roman"/>
          <w:sz w:val="32"/>
          <w:szCs w:val="32"/>
          <w:lang w:val="en-US" w:eastAsia="zh-CN"/>
        </w:rPr>
        <w:t>6.69万元，</w:t>
      </w:r>
      <w:r>
        <w:rPr>
          <w:rFonts w:hint="eastAsia"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2.42%</w:t>
      </w:r>
      <w:r>
        <w:rPr>
          <w:rFonts w:hint="eastAsia" w:ascii="Times New Roman" w:hAnsi="Times New Roman" w:eastAsia="仿宋_GB2312" w:cs="Times New Roman"/>
          <w:sz w:val="32"/>
          <w:szCs w:val="32"/>
        </w:rPr>
        <w:t>；住房保障（类）支出12.36</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4.48%。</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lang w:val="en-US" w:eastAsia="zh-CN"/>
        </w:rPr>
        <w:t>289.72</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276.03</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95.27%</w:t>
      </w:r>
      <w:r>
        <w:rPr>
          <w:rFonts w:hint="eastAsia"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知识产权事务（款）其他知识产权事务支出（项）。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99.14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100.24</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决算数大于年初预算数的主要原因是因为</w:t>
      </w:r>
      <w:r>
        <w:rPr>
          <w:rFonts w:hint="eastAsia" w:ascii="Times New Roman" w:hAnsi="Times New Roman" w:eastAsia="仿宋_GB2312" w:cs="Times New Roman"/>
          <w:sz w:val="32"/>
          <w:szCs w:val="32"/>
          <w:lang w:eastAsia="zh-CN"/>
        </w:rPr>
        <w:t>年中下达了</w:t>
      </w:r>
      <w:r>
        <w:rPr>
          <w:rFonts w:hint="eastAsia" w:ascii="Times New Roman" w:hAnsi="Times New Roman" w:eastAsia="仿宋_GB2312" w:cs="Times New Roman"/>
          <w:sz w:val="32"/>
          <w:szCs w:val="32"/>
          <w:lang w:val="en-US" w:eastAsia="zh-CN"/>
        </w:rPr>
        <w:t>2024年重点工作经费</w:t>
      </w:r>
      <w:r>
        <w:rPr>
          <w:rFonts w:hint="eastAsia" w:ascii="Times New Roman" w:hAnsi="Times New Roman" w:eastAsia="仿宋_GB2312" w:cs="Times New Roman"/>
          <w:sz w:val="32"/>
          <w:szCs w:val="32"/>
          <w:lang w:eastAsia="zh-CN"/>
        </w:rPr>
        <w:t>资金</w:t>
      </w:r>
      <w:r>
        <w:rPr>
          <w:rFonts w:hint="eastAsia" w:ascii="Times New Roman" w:hAnsi="Times New Roman" w:eastAsia="仿宋_GB2312" w:cs="Times New Roman"/>
          <w:sz w:val="32"/>
          <w:szCs w:val="32"/>
          <w:lang w:val="en-US" w:eastAsia="zh-CN"/>
        </w:rPr>
        <w:t>，本年度按照项目进度进行付款。</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市场监督管理事务（款）事业运行（项）。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年初预算为</w:t>
      </w:r>
      <w:r>
        <w:rPr>
          <w:rFonts w:hint="eastAsia" w:ascii="Times New Roman" w:hAnsi="Times New Roman" w:eastAsia="仿宋_GB2312" w:cs="Times New Roman"/>
          <w:sz w:val="32"/>
          <w:szCs w:val="32"/>
          <w:lang w:val="en-US" w:eastAsia="zh-CN"/>
        </w:rPr>
        <w:t>151.08</w:t>
      </w:r>
      <w:r>
        <w:rPr>
          <w:rFonts w:hint="eastAsia" w:ascii="Times New Roman" w:hAnsi="Times New Roman" w:eastAsia="仿宋_GB2312" w:cs="Times New Roman"/>
          <w:sz w:val="32"/>
          <w:szCs w:val="32"/>
          <w:lang w:eastAsia="zh-CN"/>
        </w:rPr>
        <w:t>万元，支出决算为</w:t>
      </w:r>
      <w:r>
        <w:rPr>
          <w:rFonts w:hint="eastAsia" w:ascii="Times New Roman" w:hAnsi="Times New Roman" w:eastAsia="仿宋_GB2312" w:cs="Times New Roman"/>
          <w:sz w:val="32"/>
          <w:szCs w:val="32"/>
          <w:lang w:val="en-US" w:eastAsia="zh-CN"/>
        </w:rPr>
        <w:t>142.62</w:t>
      </w:r>
      <w:r>
        <w:rPr>
          <w:rFonts w:hint="eastAsia" w:ascii="Times New Roman" w:hAnsi="Times New Roman" w:eastAsia="仿宋_GB2312" w:cs="Times New Roman"/>
          <w:sz w:val="32"/>
          <w:szCs w:val="32"/>
          <w:lang w:eastAsia="zh-CN"/>
        </w:rPr>
        <w:t>万元，完成年初预算的</w:t>
      </w:r>
      <w:r>
        <w:rPr>
          <w:rFonts w:hint="eastAsia" w:ascii="Times New Roman" w:hAnsi="Times New Roman" w:eastAsia="仿宋_GB2312" w:cs="Times New Roman"/>
          <w:sz w:val="32"/>
          <w:szCs w:val="32"/>
          <w:lang w:val="en-US" w:eastAsia="zh-CN"/>
        </w:rPr>
        <w:t>94.40%</w:t>
      </w:r>
      <w:r>
        <w:rPr>
          <w:rFonts w:hint="eastAsia" w:ascii="Times New Roman" w:hAnsi="Times New Roman" w:eastAsia="仿宋_GB2312" w:cs="Times New Roman"/>
          <w:sz w:val="32"/>
          <w:szCs w:val="32"/>
          <w:lang w:eastAsia="zh-CN"/>
        </w:rPr>
        <w:t>，决算数小于年初预算数的主要原因：一是中心主要负责人发生变更，新任负责人工资发放于</w:t>
      </w:r>
      <w:r>
        <w:rPr>
          <w:rFonts w:hint="eastAsia" w:ascii="Times New Roman" w:hAnsi="Times New Roman" w:eastAsia="仿宋_GB2312" w:cs="Times New Roman"/>
          <w:sz w:val="32"/>
          <w:szCs w:val="32"/>
          <w:lang w:val="en-US" w:eastAsia="zh-CN"/>
        </w:rPr>
        <w:t>2024年9月开始，原负责人工资发放到2024年4月。</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lang w:val="en-US" w:eastAsia="zh-CN"/>
        </w:rPr>
        <w:t>1名在职人员2024年调整到其他单位。</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社会保障和就业支出（类）行政事业单位养老支出（款）机关事业单位基本养老保险缴费支出（项）</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14.00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11.65</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83.21%</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年初预算数的主要原因</w:t>
      </w:r>
      <w:r>
        <w:rPr>
          <w:rFonts w:hint="eastAsia" w:ascii="Times New Roman" w:hAnsi="Times New Roman" w:eastAsia="仿宋_GB2312" w:cs="Times New Roman"/>
          <w:sz w:val="32"/>
          <w:szCs w:val="32"/>
          <w:lang w:eastAsia="zh-CN"/>
        </w:rPr>
        <w:t>：一是中心主要负责人发生变更，新任负责人工资发放于</w:t>
      </w:r>
      <w:r>
        <w:rPr>
          <w:rFonts w:hint="eastAsia" w:ascii="Times New Roman" w:hAnsi="Times New Roman" w:eastAsia="仿宋_GB2312" w:cs="Times New Roman"/>
          <w:sz w:val="32"/>
          <w:szCs w:val="32"/>
          <w:lang w:val="en-US" w:eastAsia="zh-CN"/>
        </w:rPr>
        <w:t>2024年9月开始，原负责人工资发放到2024年4月。</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lang w:val="en-US" w:eastAsia="zh-CN"/>
        </w:rPr>
        <w:t>1名在职人员2024年调整到其他单位。</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社会保障和就业支出（类）其他社会保障和就业支出（款）其他社会保障和就业支出（项）</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2.47</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98.80%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基本持平。</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卫生健康支出（类）行政事业单位医疗（款）事业单位医疗（项）。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9.00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6.69</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74.33%</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年初预算数的主要原因</w:t>
      </w:r>
      <w:r>
        <w:rPr>
          <w:rFonts w:hint="eastAsia" w:ascii="Times New Roman" w:hAnsi="Times New Roman" w:eastAsia="仿宋_GB2312" w:cs="Times New Roman"/>
          <w:sz w:val="32"/>
          <w:szCs w:val="32"/>
          <w:lang w:eastAsia="zh-CN"/>
        </w:rPr>
        <w:t>：一是中心主要负责人发生变更，新任负责人工资发放于</w:t>
      </w:r>
      <w:r>
        <w:rPr>
          <w:rFonts w:hint="eastAsia" w:ascii="Times New Roman" w:hAnsi="Times New Roman" w:eastAsia="仿宋_GB2312" w:cs="Times New Roman"/>
          <w:sz w:val="32"/>
          <w:szCs w:val="32"/>
          <w:lang w:val="en-US" w:eastAsia="zh-CN"/>
        </w:rPr>
        <w:t>2024年9月开始，原负责人工资发放到2024年4月。</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lang w:val="en-US" w:eastAsia="zh-CN"/>
        </w:rPr>
        <w:t>1名在职人员2024年调整到其他单位。</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6、住</w:t>
      </w:r>
      <w:r>
        <w:rPr>
          <w:rFonts w:hint="eastAsia" w:ascii="Times New Roman" w:hAnsi="Times New Roman" w:eastAsia="仿宋_GB2312" w:cs="Times New Roman"/>
          <w:sz w:val="32"/>
          <w:szCs w:val="32"/>
        </w:rPr>
        <w:t>房保障支出（类）住房改革支出（款）住房公积金（项）。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14.00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12.36</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88.29%</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年初预算数的主要原因</w:t>
      </w:r>
      <w:r>
        <w:rPr>
          <w:rFonts w:hint="eastAsia" w:ascii="Times New Roman" w:hAnsi="Times New Roman" w:eastAsia="仿宋_GB2312" w:cs="Times New Roman"/>
          <w:sz w:val="32"/>
          <w:szCs w:val="32"/>
          <w:lang w:eastAsia="zh-CN"/>
        </w:rPr>
        <w:t>：一是中心主要负责人发生变更，新任负责人工资发放于</w:t>
      </w:r>
      <w:r>
        <w:rPr>
          <w:rFonts w:hint="eastAsia" w:ascii="Times New Roman" w:hAnsi="Times New Roman" w:eastAsia="仿宋_GB2312" w:cs="Times New Roman"/>
          <w:sz w:val="32"/>
          <w:szCs w:val="32"/>
          <w:lang w:val="en-US" w:eastAsia="zh-CN"/>
        </w:rPr>
        <w:t>2024年9月开始，原负责人工资发放到2024年4月。</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lang w:val="en-US" w:eastAsia="zh-CN"/>
        </w:rPr>
        <w:t>1名在职人员2024年调整到其他单位。</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175.79</w:t>
      </w:r>
      <w:r>
        <w:rPr>
          <w:rFonts w:hint="eastAsia" w:ascii="Times New Roman" w:hAnsi="Times New Roman" w:eastAsia="仿宋_GB2312" w:cs="Times New Roman"/>
          <w:sz w:val="32"/>
          <w:szCs w:val="32"/>
        </w:rPr>
        <w:t>万元，其中：</w:t>
      </w:r>
    </w:p>
    <w:p>
      <w:pPr>
        <w:pStyle w:val="16"/>
        <w:overflowPunct w:val="0"/>
        <w:autoSpaceDE/>
        <w:autoSpaceDN/>
        <w:spacing w:line="600" w:lineRule="exact"/>
        <w:ind w:firstLine="642"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141.53万</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，占基本支出的</w:t>
      </w:r>
      <w:r>
        <w:rPr>
          <w:rFonts w:hint="eastAsia" w:ascii="Times New Roman" w:hAnsi="Times New Roman" w:eastAsia="仿宋_GB2312" w:cs="Times New Roman"/>
          <w:sz w:val="32"/>
          <w:szCs w:val="32"/>
          <w:lang w:val="en-US" w:eastAsia="zh-CN"/>
        </w:rPr>
        <w:t>80.51%</w:t>
      </w:r>
      <w:r>
        <w:rPr>
          <w:rFonts w:hint="eastAsia" w:ascii="Times New Roman" w:hAnsi="Times New Roman" w:eastAsia="仿宋_GB2312" w:cs="Times New Roman"/>
          <w:sz w:val="32"/>
          <w:szCs w:val="32"/>
        </w:rPr>
        <w:t>,主要包括基本工资、津贴补贴、伙食补助费</w:t>
      </w:r>
      <w:r>
        <w:rPr>
          <w:rFonts w:hint="eastAsia" w:ascii="Times New Roman" w:hAnsi="Times New Roman" w:eastAsia="仿宋_GB2312" w:cs="Times New Roman"/>
          <w:sz w:val="32"/>
          <w:szCs w:val="32"/>
          <w:lang w:eastAsia="zh-CN"/>
        </w:rPr>
        <w:t>、绩效工资、机关事业单位基本养老保险缴费、职业年金缴费、职工基本医疗保险缴费、其他社会保障缴费、住房公积金、医疗费、其他工资福利支出。</w:t>
      </w:r>
    </w:p>
    <w:p>
      <w:pPr>
        <w:pStyle w:val="16"/>
        <w:overflowPunct w:val="0"/>
        <w:autoSpaceDE/>
        <w:autoSpaceDN/>
        <w:spacing w:line="600" w:lineRule="exact"/>
        <w:ind w:firstLine="642"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34.26万元</w:t>
      </w:r>
      <w:r>
        <w:rPr>
          <w:rFonts w:ascii="Times New Roman" w:hAnsi="Times New Roman" w:eastAsia="仿宋_GB2312" w:cs="Times New Roman"/>
          <w:sz w:val="32"/>
          <w:szCs w:val="32"/>
        </w:rPr>
        <w:t>，占基本支出的</w:t>
      </w:r>
      <w:r>
        <w:rPr>
          <w:rFonts w:hint="eastAsia" w:ascii="Times New Roman" w:hAnsi="Times New Roman" w:eastAsia="仿宋_GB2312" w:cs="Times New Roman"/>
          <w:sz w:val="32"/>
          <w:szCs w:val="32"/>
          <w:lang w:val="en-US" w:eastAsia="zh-CN"/>
        </w:rPr>
        <w:t>19.49%</w:t>
      </w:r>
      <w:r>
        <w:rPr>
          <w:rFonts w:hint="eastAsia" w:ascii="Times New Roman" w:hAnsi="Times New Roman" w:eastAsia="仿宋_GB2312" w:cs="Times New Roman"/>
          <w:sz w:val="32"/>
          <w:szCs w:val="32"/>
        </w:rPr>
        <w:t>，主要包括办公费、印刷费、手续费</w:t>
      </w:r>
      <w:r>
        <w:rPr>
          <w:rFonts w:hint="eastAsia" w:ascii="Times New Roman" w:hAnsi="Times New Roman" w:eastAsia="仿宋_GB2312" w:cs="Times New Roman"/>
          <w:sz w:val="32"/>
          <w:szCs w:val="32"/>
          <w:lang w:eastAsia="zh-CN"/>
        </w:rPr>
        <w:t>、邮电费、差旅费、维修（护）费、租赁费、公务接待费、劳务费、委托业务费、工会经费、公务用车运行维护费、其他交通费用、其他商品和服务支出、办公设备购置。</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2.10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1.84</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87.62%</w:t>
      </w:r>
      <w:r>
        <w:rPr>
          <w:rFonts w:hint="eastAsia"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0.41</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28.67%</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预算数的主要原因是按照厉行节约的原则减少支出。决算数大于上年数的主要原因</w:t>
      </w:r>
      <w:r>
        <w:rPr>
          <w:rFonts w:hint="eastAsia" w:ascii="Times New Roman" w:hAnsi="Times New Roman" w:eastAsia="仿宋_GB2312" w:cs="Times New Roman"/>
          <w:sz w:val="32"/>
          <w:szCs w:val="32"/>
          <w:lang w:val="en-US" w:eastAsia="zh-CN"/>
        </w:rPr>
        <w:t>业务车辆自2013年采购已运行超10年，维修保养涉及更换相关配件费用有所增加，同时受国际油价影响，95#汽油价格浮动影响用车成本，2024年业务用车维修保养及加油费用有所增加。</w:t>
      </w:r>
    </w:p>
    <w:p>
      <w:pPr>
        <w:pStyle w:val="16"/>
        <w:overflowPunct w:val="0"/>
        <w:autoSpaceDE/>
        <w:autoSpaceDN/>
        <w:spacing w:line="600" w:lineRule="exact"/>
        <w:ind w:firstLine="642"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上年度、本年度均无此项预算和支出</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1.60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1.62</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101.25%</w:t>
      </w:r>
      <w:r>
        <w:rPr>
          <w:rFonts w:hint="eastAsia"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0.27</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20.00</w:t>
      </w:r>
      <w:r>
        <w:rPr>
          <w:rFonts w:hint="eastAsia"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上年度、本年度均无此项预算和支出</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1.60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1.62</w:t>
      </w:r>
      <w:r>
        <w:rPr>
          <w:rFonts w:hint="eastAsia"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公务用车</w:t>
      </w:r>
      <w:r>
        <w:rPr>
          <w:rFonts w:hint="eastAsia" w:ascii="Times New Roman" w:hAnsi="Times New Roman" w:eastAsia="仿宋_GB2312" w:cs="Times New Roman"/>
          <w:sz w:val="32"/>
          <w:szCs w:val="32"/>
          <w:lang w:eastAsia="zh-CN"/>
        </w:rPr>
        <w:t>维修、</w:t>
      </w:r>
      <w:r>
        <w:rPr>
          <w:rFonts w:hint="eastAsia" w:ascii="Times New Roman" w:hAnsi="Times New Roman" w:eastAsia="仿宋_GB2312" w:cs="Times New Roman"/>
          <w:sz w:val="32"/>
          <w:szCs w:val="32"/>
        </w:rPr>
        <w:t>保险、油费支出，完成预算的</w:t>
      </w:r>
      <w:r>
        <w:rPr>
          <w:rFonts w:hint="eastAsia" w:ascii="Times New Roman" w:hAnsi="Times New Roman" w:eastAsia="仿宋_GB2312" w:cs="Times New Roman"/>
          <w:sz w:val="32"/>
          <w:szCs w:val="32"/>
          <w:lang w:val="en-US" w:eastAsia="zh-CN"/>
        </w:rPr>
        <w:t>101.25</w:t>
      </w:r>
      <w:r>
        <w:rPr>
          <w:rFonts w:hint="eastAsia"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0.27</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的主要原因是编制预算时依据上年度经费支出进行预测，未考虑到中心实际工作业务的增长情况，导致实际支出与年初预算出现偏差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业务车辆自2013年采购已运行超10年，维修保养涉及更换相关配件费用有所增加，同时受国际油价影响，95#汽油价格浮动影响用车成本，2024年业务用车维修保养及加油费用有所增加</w:t>
      </w:r>
      <w:r>
        <w:rPr>
          <w:rFonts w:hint="eastAsia" w:ascii="Times New Roman" w:hAnsi="Times New Roman" w:eastAsia="仿宋_GB2312" w:cs="Times New Roman"/>
          <w:sz w:val="32"/>
          <w:szCs w:val="32"/>
        </w:rPr>
        <w:t>。截</w:t>
      </w:r>
      <w:r>
        <w:rPr>
          <w:rFonts w:hint="eastAsia" w:ascii="Times New Roman" w:hAnsi="Times New Roman" w:eastAsia="仿宋_GB2312" w:cs="Times New Roman"/>
          <w:sz w:val="32"/>
          <w:szCs w:val="32"/>
          <w:lang w:eastAsia="zh-CN"/>
        </w:rPr>
        <w:t>至</w:t>
      </w:r>
      <w:r>
        <w:rPr>
          <w:rFonts w:hint="eastAsia"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辆。</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0.50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0.22</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44.00%</w:t>
      </w:r>
      <w:r>
        <w:rPr>
          <w:rFonts w:hint="eastAsia"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0.14</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175.00%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预算数。主要原因是按照厉行节约的原则减少支出</w:t>
      </w:r>
      <w:r>
        <w:rPr>
          <w:rFonts w:hint="eastAsia" w:ascii="Times New Roman" w:hAnsi="Times New Roman" w:eastAsia="仿宋_GB2312" w:cs="Times New Roman"/>
          <w:sz w:val="32"/>
          <w:szCs w:val="32"/>
          <w:lang w:eastAsia="zh-CN"/>
        </w:rPr>
        <w:t>。决算数大于上年数的主要原因是</w:t>
      </w:r>
      <w:r>
        <w:rPr>
          <w:rFonts w:hint="eastAsia" w:ascii="Times New Roman" w:hAnsi="Times New Roman" w:eastAsia="仿宋_GB2312" w:cs="Times New Roman"/>
          <w:sz w:val="32"/>
          <w:szCs w:val="32"/>
          <w:lang w:val="en-US" w:eastAsia="zh-CN"/>
        </w:rPr>
        <w:t>2023年的基数较小，导致增长幅度较大。</w:t>
      </w:r>
      <w:r>
        <w:rPr>
          <w:rFonts w:hint="eastAsia"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国家知识产权局专利局来中心业务评价及指导和</w:t>
      </w:r>
      <w:r>
        <w:rPr>
          <w:rFonts w:hint="eastAsia" w:ascii="Times New Roman" w:hAnsi="Times New Roman" w:eastAsia="仿宋_GB2312" w:cs="Times New Roman"/>
          <w:sz w:val="32"/>
          <w:szCs w:val="32"/>
          <w:lang w:val="en-US" w:eastAsia="zh-CN"/>
        </w:rPr>
        <w:t>国防知识产权局来中心检查指导交流</w:t>
      </w:r>
      <w:r>
        <w:rPr>
          <w:rFonts w:hint="eastAsia" w:ascii="Times New Roman" w:hAnsi="Times New Roman" w:eastAsia="仿宋_GB2312" w:cs="Times New Roman"/>
          <w:sz w:val="32"/>
          <w:szCs w:val="32"/>
          <w:lang w:eastAsia="zh-CN"/>
        </w:rPr>
        <w:t>产生</w:t>
      </w:r>
      <w:r>
        <w:rPr>
          <w:rFonts w:hint="eastAsia" w:ascii="Times New Roman" w:hAnsi="Times New Roman" w:eastAsia="仿宋_GB2312" w:cs="Times New Roman"/>
          <w:sz w:val="32"/>
          <w:szCs w:val="32"/>
        </w:rPr>
        <w:t>的接待支出。</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本单位无政府性基金收支</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本单位无</w:t>
      </w:r>
      <w:r>
        <w:rPr>
          <w:rFonts w:hint="eastAsia" w:ascii="Times New Roman" w:hAnsi="Times New Roman" w:eastAsia="仿宋_GB2312" w:cs="Times New Roman"/>
          <w:sz w:val="32"/>
          <w:szCs w:val="32"/>
        </w:rPr>
        <w:t>机关运行经费支出</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hint="eastAsia"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98.39</w:t>
      </w:r>
      <w:r>
        <w:rPr>
          <w:rFonts w:hint="eastAsia"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30.95</w:t>
      </w:r>
      <w:r>
        <w:rPr>
          <w:rFonts w:hint="eastAsia"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67.44</w:t>
      </w:r>
      <w:r>
        <w:rPr>
          <w:rFonts w:hint="eastAsia"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49.89</w:t>
      </w:r>
      <w:r>
        <w:rPr>
          <w:rFonts w:hint="eastAsia"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50.71%</w:t>
      </w:r>
      <w:r>
        <w:rPr>
          <w:rFonts w:hint="eastAsia"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49.89</w:t>
      </w:r>
      <w:r>
        <w:rPr>
          <w:rFonts w:hint="eastAsia" w:ascii="Times New Roman" w:hAnsi="Times New Roman" w:eastAsia="仿宋_GB2312" w:cs="Times New Roman"/>
          <w:sz w:val="32"/>
          <w:szCs w:val="32"/>
        </w:rPr>
        <w:t>万元，占授予中小企业合同金额的</w:t>
      </w:r>
      <w:r>
        <w:rPr>
          <w:rFonts w:hint="eastAsia" w:ascii="Times New Roman" w:hAnsi="Times New Roman" w:eastAsia="仿宋_GB2312" w:cs="Times New Roman"/>
          <w:sz w:val="32"/>
          <w:szCs w:val="32"/>
          <w:lang w:val="en-US" w:eastAsia="zh-CN"/>
        </w:rPr>
        <w:t>100.00%</w:t>
      </w:r>
      <w:r>
        <w:rPr>
          <w:rFonts w:hint="eastAsia" w:ascii="Times New Roman" w:hAnsi="Times New Roman" w:eastAsia="仿宋_GB2312" w:cs="Times New Roman"/>
          <w:sz w:val="32"/>
          <w:szCs w:val="32"/>
        </w:rPr>
        <w:t>。货物采购授予中小企业合同金额占货物支出金额的</w:t>
      </w:r>
      <w:r>
        <w:rPr>
          <w:rFonts w:hint="eastAsia" w:ascii="Times New Roman" w:hAnsi="Times New Roman" w:eastAsia="仿宋_GB2312" w:cs="Times New Roman"/>
          <w:sz w:val="32"/>
          <w:szCs w:val="32"/>
          <w:lang w:val="en-US" w:eastAsia="zh-CN"/>
        </w:rPr>
        <w:t>100.00</w:t>
      </w:r>
      <w:r>
        <w:rPr>
          <w:rFonts w:hint="eastAsia" w:ascii="Times New Roman" w:hAnsi="Times New Roman" w:eastAsia="仿宋_GB2312" w:cs="Times New Roman"/>
          <w:sz w:val="32"/>
          <w:szCs w:val="32"/>
        </w:rPr>
        <w:t>%，工程采购授予中小企业合同金额占工程支出金额的</w:t>
      </w:r>
      <w:r>
        <w:rPr>
          <w:rFonts w:hint="eastAsia" w:ascii="Times New Roman" w:hAnsi="Times New Roman" w:eastAsia="仿宋_GB2312" w:cs="Times New Roman"/>
          <w:sz w:val="32"/>
          <w:szCs w:val="32"/>
          <w:lang w:val="en-US" w:eastAsia="zh-CN"/>
        </w:rPr>
        <w:t>0.00</w:t>
      </w:r>
      <w:r>
        <w:rPr>
          <w:rFonts w:hint="eastAsia" w:ascii="Times New Roman" w:hAnsi="Times New Roman" w:eastAsia="仿宋_GB2312" w:cs="Times New Roman"/>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28.08%</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单位</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代办处工作人员业务用车</w:t>
      </w:r>
      <w:r>
        <w:rPr>
          <w:rFonts w:hint="eastAsia"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2"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w:t>
      </w:r>
      <w:r>
        <w:rPr>
          <w:rFonts w:hint="eastAsia" w:ascii="Times New Roman" w:hAnsi="Times New Roman" w:eastAsia="仿宋_GB2312" w:cs="Times New Roman"/>
          <w:kern w:val="0"/>
          <w:sz w:val="32"/>
          <w:szCs w:val="32"/>
          <w:lang w:val="en-US" w:eastAsia="zh-CN"/>
        </w:rPr>
        <w:t>对2024年度本单位整体支出开展绩效自评，涉及项目2个，共涉及资金139.14万元。其中，一般公共预算项目2个139.14万元，占一般公共预算支出总额的100.00%；政府性基金预算项目0个0万元，占政府性基金预算支出总额的0%；国有资本经营预算项目0 个0万元，占国有资本经营预算支出总额的0%；社会保险基金预算项目0个0 万元，占社会保险基金预算支出总额的0%。</w:t>
      </w:r>
    </w:p>
    <w:p>
      <w:pPr>
        <w:overflowPunct w:val="0"/>
        <w:spacing w:line="600" w:lineRule="exact"/>
        <w:ind w:firstLine="642"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w:t>
      </w:r>
      <w:r>
        <w:rPr>
          <w:rFonts w:hint="eastAsia" w:ascii="Times New Roman" w:hAnsi="Times New Roman" w:eastAsia="仿宋_GB2312" w:cs="Times New Roman"/>
          <w:kern w:val="0"/>
          <w:sz w:val="32"/>
          <w:szCs w:val="32"/>
          <w:lang w:eastAsia="zh-CN"/>
        </w:rPr>
        <w:t>单位</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429.80</w:t>
      </w:r>
      <w:r>
        <w:rPr>
          <w:rFonts w:hint="eastAsia"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382.09</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88.90</w:t>
      </w:r>
      <w:r>
        <w:rPr>
          <w:rFonts w:hint="eastAsia" w:ascii="Times New Roman" w:hAnsi="Times New Roman" w:eastAsia="仿宋_GB2312" w:cs="Times New Roman"/>
          <w:sz w:val="32"/>
          <w:szCs w:val="32"/>
        </w:rPr>
        <w:t>%，绩效自评得分</w:t>
      </w:r>
      <w:r>
        <w:rPr>
          <w:rFonts w:hint="eastAsia"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hint="eastAsia"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完成国家局分配的知识产权相关业务量</w:t>
      </w:r>
      <w:r>
        <w:rPr>
          <w:rFonts w:hint="eastAsia" w:ascii="Times New Roman" w:hAnsi="Times New Roman" w:eastAsia="仿宋_GB2312" w:cs="Times New Roman"/>
          <w:sz w:val="32"/>
          <w:szCs w:val="32"/>
          <w:lang w:val="en-US" w:eastAsia="zh-CN"/>
        </w:rPr>
        <w:t>8.86万件</w:t>
      </w:r>
      <w:r>
        <w:rPr>
          <w:rFonts w:hint="eastAsia"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开展知识产权调研活动</w:t>
      </w:r>
      <w:r>
        <w:rPr>
          <w:rFonts w:hint="eastAsia" w:ascii="Times New Roman" w:hAnsi="Times New Roman" w:eastAsia="仿宋_GB2312" w:cs="Times New Roman"/>
          <w:sz w:val="32"/>
          <w:szCs w:val="32"/>
          <w:lang w:val="en-US" w:eastAsia="zh-CN"/>
        </w:rPr>
        <w:t>1次；三是按照国家知识产权局要求完成工作质量；四是按照国家知识产权局的要求在规定时间内完成相关业务办理；五是中心积极开展专利业务受理审查，突出转化运用，不断提升业务本地办理率的同时，不断提升服务质量，实现了业务质量“零差错”，服务对象满意度达到了95%。</w:t>
      </w:r>
    </w:p>
    <w:p>
      <w:pPr>
        <w:pStyle w:val="16"/>
        <w:overflowPunct w:val="0"/>
        <w:autoSpaceDE/>
        <w:autoSpaceDN/>
        <w:spacing w:line="600" w:lineRule="exact"/>
        <w:ind w:firstLine="642"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通过开展2024年整体支出绩效评价工作，我</w:t>
      </w:r>
      <w:r>
        <w:rPr>
          <w:rFonts w:hint="eastAsia" w:ascii="Times New Roman" w:hAnsi="Times New Roman" w:eastAsia="仿宋_GB2312" w:cs="Times New Roman"/>
          <w:color w:val="auto"/>
          <w:sz w:val="32"/>
          <w:szCs w:val="32"/>
          <w:lang w:eastAsia="zh-CN"/>
        </w:rPr>
        <w:t>单位</w:t>
      </w:r>
      <w:r>
        <w:rPr>
          <w:rFonts w:hint="eastAsia" w:ascii="Times New Roman" w:hAnsi="Times New Roman" w:eastAsia="仿宋_GB2312" w:cs="Times New Roman"/>
          <w:color w:val="auto"/>
          <w:sz w:val="32"/>
          <w:szCs w:val="32"/>
        </w:rPr>
        <w:t>更好地推进</w:t>
      </w:r>
      <w:r>
        <w:rPr>
          <w:rFonts w:hint="eastAsia" w:ascii="Times New Roman" w:hAnsi="Times New Roman" w:eastAsia="仿宋_GB2312" w:cs="Times New Roman"/>
          <w:color w:val="auto"/>
          <w:sz w:val="32"/>
          <w:szCs w:val="32"/>
          <w:lang w:eastAsia="zh-CN"/>
        </w:rPr>
        <w:t>知识产权相关</w:t>
      </w:r>
      <w:r>
        <w:rPr>
          <w:rFonts w:hint="eastAsia" w:ascii="Times New Roman" w:hAnsi="Times New Roman" w:eastAsia="仿宋_GB2312" w:cs="Times New Roman"/>
          <w:color w:val="auto"/>
          <w:sz w:val="32"/>
          <w:szCs w:val="32"/>
        </w:rPr>
        <w:t>工作，高效使用预算资金。</w:t>
      </w:r>
      <w:r>
        <w:rPr>
          <w:rFonts w:hint="eastAsia" w:ascii="Times New Roman" w:hAnsi="Times New Roman" w:eastAsia="仿宋_GB2312" w:cs="Times New Roman"/>
          <w:color w:val="auto"/>
          <w:sz w:val="32"/>
          <w:szCs w:val="32"/>
          <w:lang w:val="en-US" w:eastAsia="zh-CN"/>
        </w:rPr>
        <w:t>预算上精准分配资金，削减低效无效预算，优化资源配置，强化重点项目保障，动态调整支出方向，加强资金监控，提高资金使用效益，建立资金绩效反馈机制，完善绩效管理制度，强化内部控制制度，建立结果应用制度。</w:t>
      </w:r>
    </w:p>
    <w:p>
      <w:pPr>
        <w:pStyle w:val="16"/>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6"/>
        <w:spacing w:line="600" w:lineRule="exact"/>
        <w:ind w:firstLine="640" w:firstLineChars="200"/>
        <w:jc w:val="both"/>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财政预算拨款收入</w:t>
      </w:r>
      <w:r>
        <w:rPr>
          <w:rFonts w:hint="eastAsia" w:ascii="Times New Roman" w:hAnsi="Times New Roman" w:eastAsia="仿宋_GB2312" w:cs="Times New Roman"/>
          <w:color w:val="000000"/>
          <w:kern w:val="0"/>
          <w:sz w:val="32"/>
          <w:szCs w:val="32"/>
          <w:lang w:eastAsia="zh-CN"/>
        </w:rPr>
        <w:t>：指</w:t>
      </w:r>
      <w:r>
        <w:rPr>
          <w:rFonts w:hint="eastAsia" w:ascii="Times New Roman" w:hAnsi="Times New Roman" w:eastAsia="仿宋_GB2312" w:cs="Times New Roman"/>
          <w:color w:val="000000"/>
          <w:kern w:val="0"/>
          <w:sz w:val="32"/>
          <w:szCs w:val="32"/>
        </w:rPr>
        <w:t>财政部门核拨给行政单位及预算单位的财政预算资金</w:t>
      </w:r>
      <w:r>
        <w:rPr>
          <w:rFonts w:hint="eastAsia" w:ascii="Times New Roman" w:hAnsi="Times New Roman" w:eastAsia="仿宋_GB2312" w:cs="Times New Roman"/>
          <w:color w:val="000000"/>
          <w:kern w:val="0"/>
          <w:sz w:val="32"/>
          <w:szCs w:val="32"/>
          <w:lang w:eastAsia="zh-CN"/>
        </w:rPr>
        <w:t>。</w:t>
      </w:r>
    </w:p>
    <w:p>
      <w:pPr>
        <w:pStyle w:val="16"/>
        <w:spacing w:line="60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hint="eastAsia" w:ascii="Times New Roman" w:hAnsi="Times New Roman" w:eastAsia="仿宋_GB2312" w:cs="Times New Roman"/>
          <w:color w:val="000000"/>
          <w:kern w:val="0"/>
          <w:sz w:val="32"/>
          <w:szCs w:val="32"/>
        </w:rPr>
        <w:t>上级补助收入：指从主管部门和上级单位取得的非财政补助收入。</w:t>
      </w:r>
    </w:p>
    <w:p>
      <w:pPr>
        <w:pStyle w:val="16"/>
        <w:spacing w:line="600" w:lineRule="exact"/>
        <w:ind w:firstLine="640" w:firstLineChars="200"/>
        <w:jc w:val="both"/>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三、事业收入：指事业单位开展专业业务活动及其辅助活动取得的收入。</w:t>
      </w:r>
    </w:p>
    <w:p>
      <w:pPr>
        <w:pStyle w:val="16"/>
        <w:spacing w:line="600" w:lineRule="exact"/>
        <w:ind w:firstLine="640" w:firstLineChars="200"/>
        <w:jc w:val="both"/>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四、年初结转和结余：指以前年度尚未完成、结转到本年仍按原规定用途继续使用的资金，或项目已完成等产生的结余资金。</w:t>
      </w:r>
    </w:p>
    <w:p>
      <w:pPr>
        <w:pStyle w:val="16"/>
        <w:spacing w:line="60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五、</w:t>
      </w:r>
      <w:r>
        <w:rPr>
          <w:rFonts w:hint="eastAsia" w:ascii="Times New Roman" w:hAnsi="Times New Roman" w:eastAsia="仿宋_GB2312" w:cs="Times New Roman"/>
          <w:color w:val="000000"/>
          <w:kern w:val="0"/>
          <w:sz w:val="32"/>
          <w:szCs w:val="32"/>
        </w:rPr>
        <w:t>基本支出：指</w:t>
      </w:r>
      <w:r>
        <w:rPr>
          <w:rFonts w:hint="eastAsia" w:ascii="Times New Roman" w:hAnsi="Times New Roman" w:eastAsia="仿宋_GB2312" w:cs="Times New Roman"/>
          <w:color w:val="000000"/>
          <w:kern w:val="0"/>
          <w:sz w:val="32"/>
          <w:szCs w:val="32"/>
          <w:lang w:eastAsia="zh-CN"/>
        </w:rPr>
        <w:t>单位</w:t>
      </w:r>
      <w:r>
        <w:rPr>
          <w:rFonts w:hint="eastAsia" w:ascii="Times New Roman" w:hAnsi="Times New Roman" w:eastAsia="仿宋_GB2312" w:cs="Times New Roman"/>
          <w:color w:val="000000"/>
          <w:kern w:val="0"/>
          <w:sz w:val="32"/>
          <w:szCs w:val="32"/>
        </w:rPr>
        <w:t>为保障机构正常运转、完成日常工作任务而发生的各项支出，包括人员支出和公用支出。  </w:t>
      </w:r>
    </w:p>
    <w:p>
      <w:pPr>
        <w:pStyle w:val="16"/>
        <w:spacing w:line="60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六</w:t>
      </w:r>
      <w:r>
        <w:rPr>
          <w:rFonts w:hint="eastAsia" w:ascii="Times New Roman" w:hAnsi="Times New Roman" w:eastAsia="仿宋_GB2312" w:cs="Times New Roman"/>
          <w:color w:val="000000"/>
          <w:kern w:val="0"/>
          <w:sz w:val="32"/>
          <w:szCs w:val="32"/>
        </w:rPr>
        <w:t>、项目支出：指在基本支出以外为完成相关行政任务和事业发展目标所发生的各项支出。</w:t>
      </w:r>
    </w:p>
    <w:p>
      <w:pPr>
        <w:pStyle w:val="16"/>
        <w:spacing w:line="600" w:lineRule="exact"/>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lang w:eastAsia="zh-CN"/>
        </w:rPr>
        <w:t>七</w:t>
      </w:r>
      <w:r>
        <w:rPr>
          <w:rFonts w:hint="eastAsia" w:ascii="Times New Roman" w:hAnsi="Times New Roman" w:eastAsia="仿宋_GB2312" w:cs="Times New Roman"/>
          <w:color w:val="000000"/>
          <w:kern w:val="0"/>
          <w:sz w:val="32"/>
          <w:szCs w:val="32"/>
        </w:rPr>
        <w:t>、“三公”经费：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发生的租用费、燃料费、维修费、过路过桥费、保险费等支出；公务接待费指单位按规定开支的各类公务接待（含外宾接待）支出。</w:t>
      </w: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both"/>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6"/>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整体支出绩效自评报告。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Times New Roman" w:eastAsia="方正小标宋_GBK" w:cs="Times New Roman"/>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Times New Roman" w:eastAsia="方正小标宋_GBK" w:cs="Times New Roman"/>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Times New Roman" w:eastAsia="方正小标宋_GBK" w:cs="Times New Roman"/>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Times New Roman" w:eastAsia="方正小标宋_GBK" w:cs="Times New Roman"/>
          <w:sz w:val="52"/>
          <w:szCs w:val="52"/>
          <w:lang w:eastAsia="zh-CN"/>
        </w:rPr>
      </w:pPr>
    </w:p>
    <w:p>
      <w:pPr>
        <w:pStyle w:val="2"/>
        <w:rPr>
          <w:rFonts w:hint="eastAsia" w:ascii="方正小标宋_GBK" w:hAnsi="Times New Roman" w:eastAsia="方正小标宋_GBK" w:cs="Times New Roman"/>
          <w:sz w:val="52"/>
          <w:szCs w:val="52"/>
          <w:lang w:eastAsia="zh-CN"/>
        </w:rPr>
      </w:pPr>
    </w:p>
    <w:p>
      <w:pPr>
        <w:pStyle w:val="3"/>
        <w:rPr>
          <w:rFonts w:hint="eastAsia" w:ascii="方正小标宋_GBK" w:hAnsi="Times New Roman" w:eastAsia="方正小标宋_GBK" w:cs="Times New Roman"/>
          <w:sz w:val="52"/>
          <w:szCs w:val="52"/>
          <w:lang w:eastAsia="zh-CN"/>
        </w:rPr>
      </w:pPr>
    </w:p>
    <w:p>
      <w:pPr>
        <w:rPr>
          <w:rFonts w:hint="eastAsia" w:ascii="方正小标宋_GBK" w:hAnsi="Times New Roman" w:eastAsia="方正小标宋_GBK" w:cs="Times New Roman"/>
          <w:sz w:val="52"/>
          <w:szCs w:val="52"/>
          <w:lang w:eastAsia="zh-CN"/>
        </w:rPr>
      </w:pPr>
    </w:p>
    <w:p>
      <w:pPr>
        <w:pStyle w:val="2"/>
        <w:rPr>
          <w:rFonts w:hint="eastAsia" w:ascii="方正小标宋_GBK" w:hAnsi="Times New Roman" w:eastAsia="方正小标宋_GBK" w:cs="Times New Roman"/>
          <w:sz w:val="52"/>
          <w:szCs w:val="52"/>
          <w:lang w:eastAsia="zh-CN"/>
        </w:rPr>
      </w:pPr>
    </w:p>
    <w:p>
      <w:pPr>
        <w:pStyle w:val="3"/>
        <w:rPr>
          <w:rFonts w:hint="eastAsia" w:ascii="方正小标宋_GBK" w:hAnsi="Times New Roman" w:eastAsia="方正小标宋_GBK" w:cs="Times New Roman"/>
          <w:sz w:val="52"/>
          <w:szCs w:val="52"/>
          <w:lang w:eastAsia="zh-CN"/>
        </w:rPr>
      </w:pPr>
    </w:p>
    <w:p>
      <w:pPr>
        <w:rPr>
          <w:rFonts w:hint="eastAsia"/>
          <w:lang w:eastAsia="zh-CN"/>
        </w:rPr>
      </w:pPr>
    </w:p>
    <w:p>
      <w:pPr>
        <w:pStyle w:val="3"/>
        <w:rPr>
          <w:rFonts w:hint="eastAsia"/>
          <w:lang w:eastAsia="zh-CN"/>
        </w:rPr>
      </w:pPr>
    </w:p>
    <w:p>
      <w:pPr>
        <w:widowControl/>
        <w:kinsoku w:val="0"/>
        <w:autoSpaceDE/>
        <w:autoSpaceDN/>
        <w:adjustRightInd w:val="0"/>
        <w:snapToGrid w:val="0"/>
        <w:spacing w:line="625" w:lineRule="exact"/>
        <w:ind w:firstLine="0" w:firstLineChars="0"/>
        <w:jc w:val="center"/>
        <w:textAlignment w:val="baseline"/>
        <w:rPr>
          <w:rFonts w:hint="eastAsia" w:ascii="Times New Roman" w:hAnsi="Times New Roman" w:eastAsia="方正小标宋_GBK" w:cs="Times New Roman"/>
          <w:snapToGrid w:val="0"/>
          <w:color w:val="auto"/>
          <w:kern w:val="0"/>
          <w:sz w:val="44"/>
          <w:szCs w:val="44"/>
          <w:lang w:eastAsia="zh-CN"/>
        </w:rPr>
      </w:pPr>
    </w:p>
    <w:p>
      <w:pPr>
        <w:widowControl/>
        <w:kinsoku w:val="0"/>
        <w:autoSpaceDE/>
        <w:autoSpaceDN/>
        <w:adjustRightInd w:val="0"/>
        <w:snapToGrid w:val="0"/>
        <w:spacing w:line="625" w:lineRule="exact"/>
        <w:ind w:firstLine="0" w:firstLineChars="0"/>
        <w:jc w:val="center"/>
        <w:textAlignment w:val="baseline"/>
        <w:rPr>
          <w:rFonts w:hint="eastAsia" w:ascii="Times New Roman" w:hAnsi="Times New Roman" w:eastAsia="方正小标宋_GBK" w:cs="Times New Roman"/>
          <w:snapToGrid w:val="0"/>
          <w:color w:val="auto"/>
          <w:kern w:val="0"/>
          <w:sz w:val="44"/>
          <w:szCs w:val="44"/>
          <w:lang w:eastAsia="zh-CN"/>
        </w:rPr>
      </w:pPr>
      <w:r>
        <w:rPr>
          <w:rFonts w:hint="eastAsia" w:ascii="Times New Roman" w:hAnsi="Times New Roman" w:eastAsia="方正小标宋_GBK" w:cs="Times New Roman"/>
          <w:snapToGrid w:val="0"/>
          <w:color w:val="auto"/>
          <w:kern w:val="0"/>
          <w:sz w:val="44"/>
          <w:szCs w:val="44"/>
          <w:lang w:eastAsia="zh-CN"/>
        </w:rPr>
        <w:t>2024年度</w:t>
      </w:r>
    </w:p>
    <w:p>
      <w:pPr>
        <w:widowControl/>
        <w:kinsoku w:val="0"/>
        <w:autoSpaceDE/>
        <w:autoSpaceDN/>
        <w:adjustRightInd w:val="0"/>
        <w:snapToGrid w:val="0"/>
        <w:spacing w:line="625" w:lineRule="exact"/>
        <w:ind w:firstLine="0" w:firstLineChars="0"/>
        <w:jc w:val="center"/>
        <w:textAlignment w:val="baseline"/>
        <w:rPr>
          <w:rFonts w:hint="eastAsia" w:ascii="Times New Roman" w:hAnsi="Times New Roman" w:eastAsia="方正小标宋_GBK" w:cs="Times New Roman"/>
          <w:snapToGrid w:val="0"/>
          <w:color w:val="auto"/>
          <w:kern w:val="0"/>
          <w:sz w:val="44"/>
          <w:szCs w:val="44"/>
          <w:lang w:eastAsia="zh-CN"/>
        </w:rPr>
      </w:pPr>
      <w:r>
        <w:rPr>
          <w:rFonts w:hint="eastAsia" w:ascii="Times New Roman" w:hAnsi="Times New Roman" w:eastAsia="方正小标宋_GBK" w:cs="Times New Roman"/>
          <w:snapToGrid w:val="0"/>
          <w:color w:val="auto"/>
          <w:kern w:val="0"/>
          <w:sz w:val="44"/>
          <w:szCs w:val="44"/>
          <w:lang w:eastAsia="zh-CN"/>
        </w:rPr>
        <w:t>国家知识产权局专利局长沙代办处</w:t>
      </w:r>
    </w:p>
    <w:p>
      <w:pPr>
        <w:widowControl/>
        <w:kinsoku w:val="0"/>
        <w:autoSpaceDE/>
        <w:autoSpaceDN/>
        <w:adjustRightInd w:val="0"/>
        <w:snapToGrid w:val="0"/>
        <w:spacing w:line="625" w:lineRule="exact"/>
        <w:ind w:firstLine="0" w:firstLineChars="0"/>
        <w:jc w:val="center"/>
        <w:textAlignment w:val="baseline"/>
        <w:rPr>
          <w:rFonts w:hint="eastAsia" w:ascii="Times New Roman" w:hAnsi="Times New Roman" w:eastAsia="方正小标宋_GBK" w:cs="Times New Roman"/>
          <w:snapToGrid w:val="0"/>
          <w:color w:val="auto"/>
          <w:kern w:val="0"/>
          <w:sz w:val="44"/>
          <w:szCs w:val="44"/>
          <w:lang w:eastAsia="zh-CN"/>
        </w:rPr>
      </w:pPr>
      <w:r>
        <w:rPr>
          <w:rFonts w:hint="eastAsia" w:ascii="Times New Roman" w:hAnsi="Times New Roman" w:eastAsia="方正小标宋_GBK" w:cs="Times New Roman"/>
          <w:snapToGrid w:val="0"/>
          <w:color w:val="auto"/>
          <w:kern w:val="0"/>
          <w:sz w:val="44"/>
          <w:szCs w:val="44"/>
          <w:lang w:eastAsia="zh-CN"/>
        </w:rPr>
        <w:t>整体支出绩效自评报告</w:t>
      </w:r>
    </w:p>
    <w:p>
      <w:pPr>
        <w:pStyle w:val="2"/>
        <w:rPr>
          <w:rFonts w:hint="eastAsia" w:ascii="Times New Roman" w:hAnsi="Times New Roman" w:eastAsia="方正小标宋_GBK" w:cs="Times New Roman"/>
          <w:snapToGrid w:val="0"/>
          <w:color w:val="auto"/>
          <w:kern w:val="0"/>
          <w:sz w:val="44"/>
          <w:szCs w:val="44"/>
          <w:lang w:eastAsia="zh-CN"/>
        </w:rPr>
      </w:pPr>
    </w:p>
    <w:p>
      <w:pPr>
        <w:pStyle w:val="3"/>
        <w:keepNext w:val="0"/>
        <w:keepLines w:val="0"/>
        <w:pageBreakBefore w:val="0"/>
        <w:kinsoku/>
        <w:wordWrap/>
        <w:overflowPunct/>
        <w:topLinePunct w:val="0"/>
        <w:bidi w:val="0"/>
        <w:spacing w:line="600" w:lineRule="exact"/>
        <w:ind w:left="0" w:leftChars="0"/>
        <w:rPr>
          <w:rFonts w:hint="eastAsia"/>
          <w:lang w:eastAsia="zh-CN"/>
        </w:rPr>
      </w:pPr>
    </w:p>
    <w:p>
      <w:pPr>
        <w:keepNext w:val="0"/>
        <w:keepLines w:val="0"/>
        <w:pageBreakBefore w:val="0"/>
        <w:kinsoku/>
        <w:wordWrap/>
        <w:overflowPunct/>
        <w:topLinePunct w:val="0"/>
        <w:bidi w:val="0"/>
        <w:spacing w:line="600" w:lineRule="exact"/>
        <w:ind w:left="0" w:leftChars="0" w:firstLine="640" w:firstLineChars="200"/>
        <w:jc w:val="both"/>
        <w:rPr>
          <w:rFonts w:ascii="黑体" w:hAnsi="黑体" w:eastAsia="黑体" w:cs="仿宋"/>
          <w:sz w:val="32"/>
          <w:szCs w:val="32"/>
        </w:rPr>
      </w:pPr>
      <w:r>
        <w:rPr>
          <w:rFonts w:hint="eastAsia" w:ascii="黑体" w:hAnsi="黑体" w:eastAsia="黑体" w:cs="仿宋"/>
          <w:sz w:val="32"/>
          <w:szCs w:val="32"/>
        </w:rPr>
        <w:t>一、</w:t>
      </w:r>
      <w:r>
        <w:rPr>
          <w:rFonts w:ascii="黑体" w:hAnsi="黑体" w:eastAsia="黑体" w:cs="仿宋"/>
          <w:sz w:val="32"/>
          <w:szCs w:val="32"/>
        </w:rPr>
        <w:t>单位基本情况</w:t>
      </w:r>
    </w:p>
    <w:p>
      <w:pPr>
        <w:keepNext w:val="0"/>
        <w:keepLines w:val="0"/>
        <w:pageBreakBefore w:val="0"/>
        <w:kinsoku/>
        <w:wordWrap/>
        <w:overflowPunct/>
        <w:topLinePunct w:val="0"/>
        <w:bidi w:val="0"/>
        <w:spacing w:line="600" w:lineRule="exact"/>
        <w:ind w:left="0" w:leftChars="0" w:firstLine="640" w:firstLineChars="200"/>
        <w:jc w:val="both"/>
        <w:rPr>
          <w:rFonts w:ascii="仿宋" w:hAnsi="仿宋" w:eastAsia="仿宋" w:cs="仿宋"/>
          <w:sz w:val="32"/>
          <w:szCs w:val="32"/>
        </w:rPr>
      </w:pPr>
      <w:r>
        <w:rPr>
          <w:rFonts w:hint="eastAsia" w:ascii="仿宋_GB2312" w:hAnsi="仿宋_GB2312" w:eastAsia="仿宋_GB2312" w:cs="仿宋_GB2312"/>
          <w:sz w:val="32"/>
          <w:szCs w:val="32"/>
        </w:rPr>
        <w:t>国家知识产权局专利局长沙代办处，是国家知识产权局于1983年在湖南省设立的第一家专利业务派出机构,2021年机构改革更名为国家知识产权局专利局长沙代办中心，为省局公益一类正处级独立法人事业单位。2025年2月，根据湖南省委编办批复更名为湖南省知识产权公共服务中心（长沙专利代办处），其他机构编制事项维持不变。</w:t>
      </w:r>
    </w:p>
    <w:p>
      <w:pPr>
        <w:keepNext w:val="0"/>
        <w:keepLines w:val="0"/>
        <w:pageBreakBefore w:val="0"/>
        <w:kinsoku/>
        <w:wordWrap/>
        <w:overflowPunct/>
        <w:topLinePunct w:val="0"/>
        <w:bidi w:val="0"/>
        <w:spacing w:line="600" w:lineRule="exact"/>
        <w:ind w:left="0" w:leftChars="0" w:firstLine="640" w:firstLineChars="200"/>
        <w:jc w:val="both"/>
        <w:rPr>
          <w:rFonts w:ascii="楷体" w:hAnsi="楷体" w:eastAsia="楷体" w:cs="仿宋"/>
          <w:sz w:val="32"/>
          <w:szCs w:val="32"/>
        </w:rPr>
      </w:pPr>
      <w:r>
        <w:rPr>
          <w:rFonts w:hint="eastAsia" w:ascii="楷体" w:hAnsi="楷体" w:eastAsia="楷体" w:cs="仿宋"/>
          <w:sz w:val="32"/>
          <w:szCs w:val="32"/>
        </w:rPr>
        <w:t>1、职能职责</w:t>
      </w:r>
    </w:p>
    <w:p>
      <w:pPr>
        <w:keepNext w:val="0"/>
        <w:keepLines w:val="0"/>
        <w:pageBreakBefore w:val="0"/>
        <w:kinsoku/>
        <w:wordWrap/>
        <w:overflowPunct/>
        <w:topLinePunct w:val="0"/>
        <w:bidi w:val="0"/>
        <w:spacing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据专利法及相关法规规章的规定和国家知识产权局的委托，代表国务院专利行政部门为权利人和社会公众办理专利申请与运用相关工作，具体包括受理相关专利申请文件，收缴专利费用，审核费减备案，办理专利登记簿副本、专利权质押登记、专利实施许可合同备案等工作，并承担协助专利办理、指导、咨询等相关公益性事务性职能。</w:t>
      </w:r>
    </w:p>
    <w:p>
      <w:pPr>
        <w:keepNext w:val="0"/>
        <w:keepLines w:val="0"/>
        <w:pageBreakBefore w:val="0"/>
        <w:kinsoku/>
        <w:wordWrap/>
        <w:overflowPunct/>
        <w:topLinePunct w:val="0"/>
        <w:bidi w:val="0"/>
        <w:spacing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国家知识产权局商标局授权或委托的商标业务及相关服务性工作。受理商标注册申请，商标续展注册申请，商标使用许可备案，商标注销申请、注册商标专用权质权登记、商标使用许可备案等及相关业务咨询。</w:t>
      </w:r>
    </w:p>
    <w:p>
      <w:pPr>
        <w:keepNext w:val="0"/>
        <w:keepLines w:val="0"/>
        <w:pageBreakBefore w:val="0"/>
        <w:kinsoku/>
        <w:wordWrap/>
        <w:overflowPunct/>
        <w:topLinePunct w:val="0"/>
        <w:bidi w:val="0"/>
        <w:spacing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（3）承担中央军委装备发展部国防知识产权局授权或委托的国防知识产权业务及相关服务性工作。受理国防专利申请及相关业务咨询。</w:t>
      </w:r>
    </w:p>
    <w:p>
      <w:pPr>
        <w:keepNext w:val="0"/>
        <w:keepLines w:val="0"/>
        <w:pageBreakBefore w:val="0"/>
        <w:kinsoku/>
        <w:wordWrap/>
        <w:overflowPunct/>
        <w:topLinePunct w:val="0"/>
        <w:bidi w:val="0"/>
        <w:spacing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（4）完成省市场监督管理局交办的其他任务。</w:t>
      </w:r>
    </w:p>
    <w:p>
      <w:pPr>
        <w:keepNext w:val="0"/>
        <w:keepLines w:val="0"/>
        <w:pageBreakBefore w:val="0"/>
        <w:kinsoku/>
        <w:wordWrap/>
        <w:overflowPunct/>
        <w:topLinePunct w:val="0"/>
        <w:bidi w:val="0"/>
        <w:spacing w:line="600" w:lineRule="exact"/>
        <w:ind w:left="0" w:leftChars="0" w:firstLine="640" w:firstLineChars="200"/>
        <w:jc w:val="both"/>
        <w:rPr>
          <w:rFonts w:ascii="楷体" w:hAnsi="楷体" w:eastAsia="楷体"/>
          <w:sz w:val="32"/>
          <w:szCs w:val="32"/>
        </w:rPr>
      </w:pPr>
      <w:r>
        <w:rPr>
          <w:rFonts w:hint="eastAsia" w:ascii="楷体" w:hAnsi="楷体" w:eastAsia="楷体"/>
          <w:sz w:val="32"/>
          <w:szCs w:val="32"/>
        </w:rPr>
        <w:t>2、机构情况</w:t>
      </w:r>
    </w:p>
    <w:p>
      <w:pPr>
        <w:keepNext w:val="0"/>
        <w:keepLines w:val="0"/>
        <w:pageBreakBefore w:val="0"/>
        <w:kinsoku/>
        <w:wordWrap/>
        <w:overflowPunct/>
        <w:topLinePunct w:val="0"/>
        <w:bidi w:val="0"/>
        <w:spacing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代办处目前设有专利办事服务大厅，开通受理、收费、综合、咨询四个专利业务窗口，2021年经省局领导同意，代办处窗口商标受理权限下放到自贸区长沙片区知识产权公共服务中心，自身不开展商标业务。</w:t>
      </w:r>
    </w:p>
    <w:p>
      <w:pPr>
        <w:keepNext w:val="0"/>
        <w:keepLines w:val="0"/>
        <w:pageBreakBefore w:val="0"/>
        <w:kinsoku/>
        <w:wordWrap/>
        <w:overflowPunct/>
        <w:topLinePunct w:val="0"/>
        <w:bidi w:val="0"/>
        <w:spacing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2021年机构改革因事业单位不能使用厅、局、处等行政机构名称，</w:t>
      </w:r>
      <w:r>
        <w:rPr>
          <w:rFonts w:hint="eastAsia" w:ascii="仿宋_GB2312" w:hAnsi="仿宋_GB2312" w:eastAsia="仿宋_GB2312" w:cs="仿宋_GB2312"/>
          <w:bCs/>
          <w:sz w:val="32"/>
          <w:szCs w:val="32"/>
        </w:rPr>
        <w:t>经多次多方协调，</w:t>
      </w:r>
      <w:r>
        <w:rPr>
          <w:rFonts w:hint="eastAsia" w:ascii="仿宋_GB2312" w:hAnsi="仿宋_GB2312" w:eastAsia="仿宋_GB2312" w:cs="仿宋_GB2312"/>
          <w:sz w:val="32"/>
          <w:szCs w:val="32"/>
        </w:rPr>
        <w:t>国家知识产权局专利局长沙代办中心因名称不符合规定无法进行法人登记。</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年财务未独立前，由省局统一统筹财政经费预算，</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年财务独立后，单位在完成经费拨付和工资公积金社保缴纳等业务时仍使用长沙代办处名称，在完成省局有关事项时则依据改革文件精神使用代办中心名称。</w:t>
      </w:r>
    </w:p>
    <w:p>
      <w:pPr>
        <w:keepNext w:val="0"/>
        <w:keepLines w:val="0"/>
        <w:pageBreakBefore w:val="0"/>
        <w:kinsoku/>
        <w:wordWrap/>
        <w:overflowPunct/>
        <w:topLinePunct w:val="0"/>
        <w:bidi w:val="0"/>
        <w:spacing w:line="600" w:lineRule="exact"/>
        <w:ind w:left="0" w:leftChars="0" w:firstLine="640" w:firstLineChars="200"/>
        <w:jc w:val="both"/>
        <w:rPr>
          <w:rFonts w:ascii="楷体" w:hAnsi="楷体" w:eastAsia="楷体"/>
          <w:sz w:val="32"/>
          <w:szCs w:val="32"/>
        </w:rPr>
      </w:pPr>
      <w:r>
        <w:rPr>
          <w:rFonts w:hint="eastAsia" w:ascii="楷体" w:hAnsi="楷体" w:eastAsia="楷体"/>
          <w:sz w:val="32"/>
          <w:szCs w:val="32"/>
        </w:rPr>
        <w:t>3、人员情况</w:t>
      </w:r>
    </w:p>
    <w:p>
      <w:pPr>
        <w:keepNext w:val="0"/>
        <w:keepLines w:val="0"/>
        <w:pageBreakBefore w:val="0"/>
        <w:kinsoku/>
        <w:wordWrap/>
        <w:overflowPunct/>
        <w:topLinePunct w:val="0"/>
        <w:bidi w:val="0"/>
        <w:spacing w:line="600" w:lineRule="exact"/>
        <w:ind w:left="0" w:leftChars="0" w:firstLine="640" w:firstLineChars="200"/>
        <w:jc w:val="both"/>
        <w:rPr>
          <w:rFonts w:ascii="仿宋" w:hAnsi="仿宋" w:eastAsia="仿宋"/>
          <w:sz w:val="32"/>
          <w:szCs w:val="32"/>
        </w:rPr>
      </w:pPr>
      <w:r>
        <w:rPr>
          <w:rFonts w:hint="eastAsia" w:ascii="仿宋_GB2312" w:hAnsi="仿宋_GB2312" w:eastAsia="仿宋_GB2312" w:cs="仿宋_GB2312"/>
          <w:sz w:val="32"/>
          <w:szCs w:val="32"/>
        </w:rPr>
        <w:t>2021年4月，根据</w:t>
      </w:r>
      <w:r>
        <w:rPr>
          <w:rStyle w:val="13"/>
          <w:rFonts w:hint="eastAsia" w:ascii="仿宋_GB2312" w:hAnsi="仿宋_GB2312" w:eastAsia="仿宋_GB2312" w:cs="仿宋_GB2312"/>
          <w:b w:val="0"/>
          <w:bCs w:val="0"/>
          <w:sz w:val="32"/>
          <w:szCs w:val="32"/>
        </w:rPr>
        <w:t>省委编委《关于省市场监督管理局深化事业单位改革试点有关事项的批复》（湘编复字〔2021〕2号）</w:t>
      </w:r>
      <w:r>
        <w:rPr>
          <w:rFonts w:hint="eastAsia" w:ascii="仿宋_GB2312" w:hAnsi="仿宋_GB2312" w:eastAsia="仿宋_GB2312" w:cs="仿宋_GB2312"/>
          <w:sz w:val="32"/>
          <w:szCs w:val="32"/>
        </w:rPr>
        <w:t>，核定事业编制8名，核定主任1名，副主任1名。</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年7月，为筹建湖南省知识产权保护中心划出编制4名，调出在编人员1名。</w:t>
      </w:r>
      <w:r>
        <w:rPr>
          <w:rFonts w:hint="eastAsia" w:ascii="仿宋_GB2312" w:hAnsi="仿宋_GB2312" w:eastAsia="仿宋_GB2312" w:cs="仿宋_GB2312"/>
          <w:color w:val="auto"/>
          <w:spacing w:val="-2"/>
          <w:sz w:val="32"/>
          <w:szCs w:val="32"/>
        </w:rPr>
        <w:t>截至</w:t>
      </w:r>
      <w:r>
        <w:rPr>
          <w:rFonts w:hint="eastAsia" w:ascii="仿宋_GB2312" w:hAnsi="仿宋_GB2312" w:eastAsia="仿宋_GB2312" w:cs="仿宋_GB2312"/>
          <w:color w:val="auto"/>
          <w:spacing w:val="-2"/>
          <w:sz w:val="32"/>
          <w:szCs w:val="32"/>
          <w:lang w:eastAsia="zh-CN"/>
        </w:rPr>
        <w:t>2024</w:t>
      </w:r>
      <w:r>
        <w:rPr>
          <w:rFonts w:hint="eastAsia" w:ascii="仿宋_GB2312" w:hAnsi="仿宋_GB2312" w:eastAsia="仿宋_GB2312" w:cs="仿宋_GB2312"/>
          <w:color w:val="auto"/>
          <w:spacing w:val="-2"/>
          <w:sz w:val="32"/>
          <w:szCs w:val="32"/>
        </w:rPr>
        <w:t>年12月31日，现有在职工作人员16名，实际在职在编人员6名，</w:t>
      </w:r>
      <w:r>
        <w:rPr>
          <w:rFonts w:hint="eastAsia" w:ascii="仿宋_GB2312" w:hAnsi="仿宋_GB2312" w:eastAsia="仿宋_GB2312" w:cs="仿宋_GB2312"/>
          <w:color w:val="auto"/>
          <w:spacing w:val="-2"/>
          <w:sz w:val="32"/>
          <w:szCs w:val="32"/>
          <w:lang w:val="en-US" w:eastAsia="zh-CN"/>
        </w:rPr>
        <w:t>合同制员工</w:t>
      </w:r>
      <w:r>
        <w:rPr>
          <w:rFonts w:hint="eastAsia" w:ascii="仿宋_GB2312" w:hAnsi="仿宋_GB2312" w:eastAsia="仿宋_GB2312" w:cs="仿宋_GB2312"/>
          <w:color w:val="auto"/>
          <w:spacing w:val="-2"/>
          <w:sz w:val="32"/>
          <w:szCs w:val="32"/>
        </w:rPr>
        <w:t>5名</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rPr>
        <w:t>劳务派遣人员5名。</w:t>
      </w:r>
    </w:p>
    <w:p>
      <w:pPr>
        <w:pStyle w:val="17"/>
        <w:keepNext w:val="0"/>
        <w:keepLines w:val="0"/>
        <w:pageBreakBefore w:val="0"/>
        <w:kinsoku/>
        <w:wordWrap/>
        <w:overflowPunct/>
        <w:topLinePunct w:val="0"/>
        <w:bidi w:val="0"/>
        <w:spacing w:line="600" w:lineRule="exact"/>
        <w:ind w:left="0" w:leftChars="0" w:firstLine="640" w:firstLineChars="200"/>
        <w:jc w:val="both"/>
        <w:rPr>
          <w:rFonts w:ascii="黑体" w:hAnsi="黑体" w:eastAsia="黑体" w:cs="Times New Roman"/>
          <w:sz w:val="32"/>
          <w:szCs w:val="32"/>
        </w:rPr>
      </w:pPr>
      <w:r>
        <w:rPr>
          <w:rFonts w:ascii="黑体" w:hAnsi="黑体" w:eastAsia="黑体" w:cs="Times New Roman"/>
          <w:sz w:val="32"/>
          <w:szCs w:val="32"/>
        </w:rPr>
        <w:t>二、一般公共预算支出情况</w:t>
      </w:r>
    </w:p>
    <w:p>
      <w:pPr>
        <w:pStyle w:val="17"/>
        <w:keepNext w:val="0"/>
        <w:keepLines w:val="0"/>
        <w:pageBreakBefore w:val="0"/>
        <w:kinsoku/>
        <w:wordWrap/>
        <w:overflowPunct/>
        <w:topLinePunct w:val="0"/>
        <w:bidi w:val="0"/>
        <w:spacing w:line="600" w:lineRule="exact"/>
        <w:ind w:left="0" w:leftChars="0" w:firstLine="640" w:firstLineChars="200"/>
        <w:jc w:val="both"/>
        <w:rPr>
          <w:rFonts w:ascii="楷体" w:hAnsi="楷体" w:eastAsia="楷体" w:cs="Times New Roman"/>
          <w:sz w:val="32"/>
          <w:szCs w:val="32"/>
        </w:rPr>
      </w:pPr>
      <w:r>
        <w:rPr>
          <w:rFonts w:ascii="楷体" w:hAnsi="楷体" w:eastAsia="楷体" w:cs="Times New Roman"/>
          <w:sz w:val="32"/>
          <w:szCs w:val="32"/>
        </w:rPr>
        <w:t>（一）基本支出情况</w:t>
      </w:r>
    </w:p>
    <w:p>
      <w:pPr>
        <w:pStyle w:val="17"/>
        <w:keepNext w:val="0"/>
        <w:keepLines w:val="0"/>
        <w:pageBreakBefore w:val="0"/>
        <w:kinsoku/>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年，代办处基本支出全年预算数为</w:t>
      </w:r>
      <w:r>
        <w:rPr>
          <w:rFonts w:hint="eastAsia" w:ascii="仿宋_GB2312" w:hAnsi="仿宋_GB2312" w:eastAsia="仿宋_GB2312" w:cs="仿宋_GB2312"/>
          <w:color w:val="auto"/>
          <w:sz w:val="32"/>
          <w:szCs w:val="32"/>
          <w:lang w:val="en-US" w:eastAsia="zh-CN"/>
        </w:rPr>
        <w:t>289.66</w:t>
      </w:r>
      <w:r>
        <w:rPr>
          <w:rFonts w:hint="eastAsia" w:ascii="仿宋_GB2312" w:hAnsi="仿宋_GB2312" w:eastAsia="仿宋_GB2312" w:cs="仿宋_GB2312"/>
          <w:color w:val="auto"/>
          <w:sz w:val="32"/>
          <w:szCs w:val="32"/>
        </w:rPr>
        <w:t>万元，全年支出约</w:t>
      </w:r>
      <w:r>
        <w:rPr>
          <w:rFonts w:hint="eastAsia" w:ascii="仿宋_GB2312" w:hAnsi="仿宋_GB2312" w:eastAsia="仿宋_GB2312" w:cs="仿宋_GB2312"/>
          <w:color w:val="auto"/>
          <w:sz w:val="32"/>
          <w:szCs w:val="32"/>
          <w:lang w:val="en-US" w:eastAsia="zh-CN"/>
        </w:rPr>
        <w:t>281.85</w:t>
      </w:r>
      <w:r>
        <w:rPr>
          <w:rFonts w:hint="eastAsia" w:ascii="仿宋_GB2312" w:hAnsi="仿宋_GB2312" w:eastAsia="仿宋_GB2312" w:cs="仿宋_GB2312"/>
          <w:color w:val="auto"/>
          <w:sz w:val="32"/>
          <w:szCs w:val="32"/>
        </w:rPr>
        <w:t>万元（其中人员经费约</w:t>
      </w:r>
      <w:r>
        <w:rPr>
          <w:rFonts w:hint="eastAsia" w:ascii="仿宋_GB2312" w:hAnsi="仿宋_GB2312" w:eastAsia="仿宋_GB2312" w:cs="仿宋_GB2312"/>
          <w:color w:val="auto"/>
          <w:sz w:val="32"/>
          <w:szCs w:val="32"/>
          <w:lang w:val="en-US" w:eastAsia="zh-CN"/>
        </w:rPr>
        <w:t>152.22</w:t>
      </w:r>
      <w:r>
        <w:rPr>
          <w:rFonts w:hint="eastAsia" w:ascii="仿宋_GB2312" w:hAnsi="仿宋_GB2312" w:eastAsia="仿宋_GB2312" w:cs="仿宋_GB2312"/>
          <w:color w:val="auto"/>
          <w:sz w:val="32"/>
          <w:szCs w:val="32"/>
        </w:rPr>
        <w:t>万元，公用费用约</w:t>
      </w:r>
      <w:r>
        <w:rPr>
          <w:rFonts w:hint="eastAsia" w:ascii="仿宋_GB2312" w:hAnsi="仿宋_GB2312" w:eastAsia="仿宋_GB2312" w:cs="仿宋_GB2312"/>
          <w:color w:val="auto"/>
          <w:sz w:val="32"/>
          <w:szCs w:val="32"/>
          <w:lang w:val="en-US" w:eastAsia="zh-CN"/>
        </w:rPr>
        <w:t>129.62</w:t>
      </w:r>
      <w:r>
        <w:rPr>
          <w:rFonts w:hint="eastAsia" w:ascii="仿宋_GB2312" w:hAnsi="仿宋_GB2312" w:eastAsia="仿宋_GB2312" w:cs="仿宋_GB2312"/>
          <w:color w:val="auto"/>
          <w:sz w:val="32"/>
          <w:szCs w:val="32"/>
        </w:rPr>
        <w:t>万元），预算执行率为9</w:t>
      </w:r>
      <w:r>
        <w:rPr>
          <w:rFonts w:hint="eastAsia" w:ascii="仿宋_GB2312" w:hAnsi="仿宋_GB2312" w:eastAsia="仿宋_GB2312" w:cs="仿宋_GB2312"/>
          <w:color w:val="auto"/>
          <w:sz w:val="32"/>
          <w:szCs w:val="32"/>
          <w:lang w:val="en-US" w:eastAsia="zh-CN"/>
        </w:rPr>
        <w:t>7.30</w:t>
      </w:r>
      <w:r>
        <w:rPr>
          <w:rFonts w:hint="eastAsia" w:ascii="仿宋_GB2312" w:hAnsi="仿宋_GB2312" w:eastAsia="仿宋_GB2312" w:cs="仿宋_GB2312"/>
          <w:color w:val="auto"/>
          <w:sz w:val="32"/>
          <w:szCs w:val="32"/>
        </w:rPr>
        <w:t>%。</w:t>
      </w:r>
    </w:p>
    <w:p>
      <w:pPr>
        <w:pStyle w:val="17"/>
        <w:keepNext w:val="0"/>
        <w:keepLines w:val="0"/>
        <w:pageBreakBefore w:val="0"/>
        <w:kinsoku/>
        <w:wordWrap/>
        <w:overflowPunct/>
        <w:topLinePunct w:val="0"/>
        <w:bidi w:val="0"/>
        <w:spacing w:line="600" w:lineRule="exact"/>
        <w:ind w:left="0" w:leftChars="0" w:firstLine="640" w:firstLineChars="200"/>
        <w:jc w:val="both"/>
        <w:rPr>
          <w:rFonts w:ascii="楷体" w:hAnsi="楷体" w:eastAsia="楷体" w:cs="Times New Roman"/>
          <w:color w:val="auto"/>
          <w:sz w:val="32"/>
          <w:szCs w:val="32"/>
        </w:rPr>
      </w:pPr>
      <w:r>
        <w:rPr>
          <w:rFonts w:ascii="楷体" w:hAnsi="楷体" w:eastAsia="楷体" w:cs="Times New Roman"/>
          <w:color w:val="auto"/>
          <w:sz w:val="32"/>
          <w:szCs w:val="32"/>
        </w:rPr>
        <w:t>（二）项目支出情况</w:t>
      </w:r>
    </w:p>
    <w:p>
      <w:pPr>
        <w:pStyle w:val="17"/>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年，代办处项目资金全年预算数为</w:t>
      </w:r>
      <w:r>
        <w:rPr>
          <w:rFonts w:hint="eastAsia" w:ascii="仿宋_GB2312" w:hAnsi="仿宋_GB2312" w:eastAsia="仿宋_GB2312" w:cs="仿宋_GB2312"/>
          <w:color w:val="auto"/>
          <w:sz w:val="32"/>
          <w:szCs w:val="32"/>
          <w:lang w:val="en-US" w:eastAsia="zh-CN"/>
        </w:rPr>
        <w:t>140.14</w:t>
      </w:r>
      <w:r>
        <w:rPr>
          <w:rFonts w:hint="eastAsia" w:ascii="仿宋_GB2312" w:hAnsi="仿宋_GB2312" w:eastAsia="仿宋_GB2312" w:cs="仿宋_GB2312"/>
          <w:color w:val="auto"/>
          <w:sz w:val="32"/>
          <w:szCs w:val="32"/>
        </w:rPr>
        <w:t>万元，全年共支出</w:t>
      </w:r>
      <w:r>
        <w:rPr>
          <w:rFonts w:hint="eastAsia" w:ascii="仿宋_GB2312" w:hAnsi="仿宋_GB2312" w:eastAsia="仿宋_GB2312" w:cs="仿宋_GB2312"/>
          <w:color w:val="auto"/>
          <w:sz w:val="32"/>
          <w:szCs w:val="32"/>
          <w:lang w:val="en-US" w:eastAsia="zh-CN"/>
        </w:rPr>
        <w:t>100.24</w:t>
      </w:r>
      <w:r>
        <w:rPr>
          <w:rFonts w:hint="eastAsia" w:ascii="仿宋_GB2312" w:hAnsi="仿宋_GB2312" w:eastAsia="仿宋_GB2312" w:cs="仿宋_GB2312"/>
          <w:color w:val="auto"/>
          <w:sz w:val="32"/>
          <w:szCs w:val="32"/>
        </w:rPr>
        <w:t>万元，预算执行率</w:t>
      </w:r>
      <w:r>
        <w:rPr>
          <w:rFonts w:hint="eastAsia" w:ascii="仿宋_GB2312" w:hAnsi="仿宋_GB2312" w:eastAsia="仿宋_GB2312" w:cs="仿宋_GB2312"/>
          <w:color w:val="auto"/>
          <w:sz w:val="32"/>
          <w:szCs w:val="32"/>
          <w:lang w:val="en-US" w:eastAsia="zh-CN"/>
        </w:rPr>
        <w:t>71.53</w:t>
      </w:r>
      <w:r>
        <w:rPr>
          <w:rFonts w:hint="eastAsia" w:ascii="仿宋_GB2312" w:hAnsi="仿宋_GB2312" w:eastAsia="仿宋_GB2312" w:cs="仿宋_GB2312"/>
          <w:color w:val="auto"/>
          <w:sz w:val="32"/>
          <w:szCs w:val="32"/>
        </w:rPr>
        <w:t>%。</w:t>
      </w:r>
    </w:p>
    <w:p>
      <w:pPr>
        <w:pStyle w:val="5"/>
        <w:keepNext w:val="0"/>
        <w:keepLines w:val="0"/>
        <w:pageBreakBefore w:val="0"/>
        <w:widowControl/>
        <w:numPr>
          <w:ilvl w:val="0"/>
          <w:numId w:val="1"/>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黑体" w:hAnsi="黑体" w:eastAsia="黑体" w:cs="Times New Roman"/>
          <w:snapToGrid w:val="0"/>
          <w:color w:val="auto"/>
          <w:kern w:val="0"/>
          <w:sz w:val="32"/>
          <w:szCs w:val="32"/>
          <w:lang w:val="en-US" w:eastAsia="zh-CN" w:bidi="ar-SA"/>
        </w:rPr>
      </w:pPr>
      <w:r>
        <w:rPr>
          <w:rFonts w:hint="eastAsia" w:ascii="黑体" w:hAnsi="黑体" w:eastAsia="黑体" w:cs="Times New Roman"/>
          <w:snapToGrid w:val="0"/>
          <w:color w:val="auto"/>
          <w:kern w:val="0"/>
          <w:sz w:val="32"/>
          <w:szCs w:val="32"/>
          <w:lang w:val="en-US" w:eastAsia="zh-CN" w:bidi="ar-SA"/>
        </w:rPr>
        <w:t>政府性基金预算支出情况</w:t>
      </w:r>
    </w:p>
    <w:p>
      <w:pPr>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auto"/>
          <w:sz w:val="32"/>
          <w:szCs w:val="32"/>
          <w:lang w:val="en-US" w:eastAsia="zh-CN" w:bidi="ar-SA"/>
        </w:rPr>
      </w:pPr>
      <w:r>
        <w:rPr>
          <w:rFonts w:hint="eastAsia" w:ascii="仿宋_GB2312" w:hAnsi="仿宋_GB2312" w:eastAsia="仿宋_GB2312" w:cs="仿宋_GB2312"/>
          <w:snapToGrid w:val="0"/>
          <w:color w:val="auto"/>
          <w:sz w:val="32"/>
          <w:szCs w:val="32"/>
          <w:lang w:val="en-US" w:eastAsia="zh-CN" w:bidi="ar-SA"/>
        </w:rPr>
        <w:t>2024年度，国家知识产权局专利局长沙代办中心未安排政府性基金预算，无政府性基金预算支出。</w:t>
      </w:r>
    </w:p>
    <w:p>
      <w:pPr>
        <w:pStyle w:val="5"/>
        <w:keepNext w:val="0"/>
        <w:keepLines w:val="0"/>
        <w:pageBreakBefore w:val="0"/>
        <w:widowControl/>
        <w:numPr>
          <w:ilvl w:val="0"/>
          <w:numId w:val="1"/>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黑体" w:hAnsi="黑体" w:eastAsia="黑体" w:cs="Times New Roman"/>
          <w:snapToGrid w:val="0"/>
          <w:color w:val="auto"/>
          <w:kern w:val="0"/>
          <w:sz w:val="32"/>
          <w:szCs w:val="32"/>
          <w:lang w:val="en-US" w:eastAsia="zh-CN" w:bidi="ar-SA"/>
        </w:rPr>
      </w:pPr>
      <w:r>
        <w:rPr>
          <w:rFonts w:hint="eastAsia" w:ascii="黑体" w:hAnsi="黑体" w:eastAsia="黑体" w:cs="Times New Roman"/>
          <w:snapToGrid w:val="0"/>
          <w:color w:val="auto"/>
          <w:kern w:val="0"/>
          <w:sz w:val="32"/>
          <w:szCs w:val="32"/>
          <w:lang w:val="en-US" w:eastAsia="zh-CN" w:bidi="ar-SA"/>
        </w:rPr>
        <w:t>国有资本经营预算支出情况</w:t>
      </w:r>
    </w:p>
    <w:p>
      <w:pPr>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snapToGrid w:val="0"/>
          <w:color w:val="auto"/>
          <w:sz w:val="32"/>
          <w:szCs w:val="32"/>
          <w:lang w:val="en-US" w:eastAsia="zh-CN" w:bidi="ar-SA"/>
        </w:rPr>
        <w:t>2024年度，国家知识产权局专利局长沙代办中心未安排国有资本经营预算，无国有资本经营预算支出。</w:t>
      </w:r>
    </w:p>
    <w:p>
      <w:pPr>
        <w:pStyle w:val="5"/>
        <w:keepNext w:val="0"/>
        <w:keepLines w:val="0"/>
        <w:pageBreakBefore w:val="0"/>
        <w:widowControl/>
        <w:numPr>
          <w:ilvl w:val="0"/>
          <w:numId w:val="1"/>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黑体" w:hAnsi="黑体" w:eastAsia="黑体" w:cs="Times New Roman"/>
          <w:snapToGrid w:val="0"/>
          <w:color w:val="auto"/>
          <w:kern w:val="0"/>
          <w:sz w:val="32"/>
          <w:szCs w:val="32"/>
          <w:lang w:val="en-US" w:eastAsia="zh-CN" w:bidi="ar-SA"/>
        </w:rPr>
      </w:pPr>
      <w:r>
        <w:rPr>
          <w:rFonts w:hint="eastAsia" w:ascii="黑体" w:hAnsi="黑体" w:eastAsia="黑体" w:cs="Times New Roman"/>
          <w:snapToGrid w:val="0"/>
          <w:color w:val="auto"/>
          <w:kern w:val="0"/>
          <w:sz w:val="32"/>
          <w:szCs w:val="32"/>
          <w:lang w:val="en-US" w:eastAsia="zh-CN" w:bidi="ar-SA"/>
        </w:rPr>
        <w:t>社会保险基金预算支出情况</w:t>
      </w:r>
    </w:p>
    <w:p>
      <w:pPr>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napToGrid w:val="0"/>
          <w:color w:val="000000"/>
          <w:sz w:val="32"/>
          <w:szCs w:val="32"/>
          <w:lang w:val="en-US" w:eastAsia="zh-CN" w:bidi="ar-SA"/>
        </w:rPr>
        <w:t>2024年度，国家知识产权局专利局长沙代办中心未安排社会保险基金预算，无社会保险基金预算支出。</w:t>
      </w: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黑体" w:hAnsi="黑体" w:eastAsia="黑体" w:cs="Times New Roman"/>
          <w:snapToGrid w:val="0"/>
          <w:color w:val="000000"/>
          <w:kern w:val="0"/>
          <w:sz w:val="32"/>
          <w:szCs w:val="32"/>
          <w:lang w:val="en-US" w:eastAsia="zh-CN" w:bidi="ar-SA"/>
        </w:rPr>
      </w:pPr>
      <w:r>
        <w:rPr>
          <w:rFonts w:hint="eastAsia" w:ascii="黑体" w:hAnsi="黑体" w:eastAsia="黑体" w:cs="Times New Roman"/>
          <w:snapToGrid w:val="0"/>
          <w:color w:val="000000"/>
          <w:kern w:val="0"/>
          <w:sz w:val="32"/>
          <w:szCs w:val="32"/>
          <w:lang w:val="en-US" w:eastAsia="zh-CN" w:bidi="ar-SA"/>
        </w:rPr>
        <w:t>六、单位整体支出绩效情况</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零基预算改革实施情况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 w:hAnsi="仿宋" w:eastAsia="仿宋" w:cs="Times New Roman"/>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按照上级统一部署，将零基预算改革贯彻预算编制、执行全过程，坚持“以零为基”编制预算、“以事定钱”安排预算、“以效促用”执行预算，以刀刃向内、不破不立的决心，推动一系列有力举措落地见效，改革成效初步显现。</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绩效目标完成情况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仿宋" w:hAnsi="仿宋" w:eastAsia="仿宋" w:cs="Times New Roman"/>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 xml:space="preserve">代办处圆满完成了2024年度制定的年度总体目标。 </w:t>
      </w:r>
      <w:r>
        <w:rPr>
          <w:rFonts w:hint="eastAsia" w:ascii="仿宋" w:hAnsi="仿宋" w:eastAsia="仿宋" w:cs="Times New Roman"/>
          <w:snapToGrid w:val="0"/>
          <w:color w:val="000000"/>
          <w:sz w:val="32"/>
          <w:szCs w:val="32"/>
          <w:lang w:val="en-US" w:eastAsia="zh-CN" w:bidi="ar-SA"/>
        </w:rPr>
        <w:t xml:space="preserve">   </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实现产出和取得效益情况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规范办理各项业务，实现业务质量“零差错”；积极推广电子申请，湖南省专利电子申请率为99.75%；开展代理执业备案，全部按照国家局时限要求审查完毕；落实转化运用行动，全年开展专利转化运用相关业务培训4次，参加培训的总人数700余人次，制作专利转化运用业务流程短视频、政策解读图文5个；圆满完成业务工作质量考核。</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资产管理情况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auto"/>
          <w:sz w:val="32"/>
          <w:szCs w:val="32"/>
          <w:lang w:val="en-US" w:eastAsia="zh-CN" w:bidi="ar-SA"/>
        </w:rPr>
      </w:pPr>
      <w:r>
        <w:rPr>
          <w:rFonts w:hint="eastAsia" w:ascii="仿宋_GB2312" w:hAnsi="仿宋_GB2312" w:eastAsia="仿宋_GB2312" w:cs="仿宋_GB2312"/>
          <w:snapToGrid w:val="0"/>
          <w:color w:val="auto"/>
          <w:sz w:val="32"/>
          <w:szCs w:val="32"/>
          <w:lang w:val="en-US" w:eastAsia="zh-CN" w:bidi="ar-SA"/>
        </w:rPr>
        <w:t>代办处狠抓固定资产管理基础工作，2025年1月，代办处开展了对2024年全年财务收支专项内部审计，并对资产进行了盘点，及时发现资产管理方面存在的薄弱环节并加以整改完善。</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开展业务情况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围绕业务开展，聚焦转化运用，在优化流程、便民服务上持续下功夫，不断提升业务本地办理率，优质高效地完成国家局省局授权委托和交办的服务管理工作，持续保持业务质量“零差错”，服务质量“零投诉”。一方面业务总量不断攀升。2024年1-12月，纸件申请受理44件，电子申请受理18889件，通知书发文156笔，向外申请保密审查3005件，费减备案32397件，专利费用收缴78398笔（其中银行转账59811笔，当面缴费18587笔）共计7420万元，专利权质押登记新申请547笔，质押专利3829件，质押金额841,717.8万元，专利实施许可合同备案714笔，许可专利4093件，许可金额19,988.7万元，专利开放许可声明审查985件，合格715件，专利登记簿副本5374件，批量法律状态证明178笔，涉及专利11442件，专利优先审查7311件，推荐5501件，专利文档查阅481笔。为创新主体免费发放宣传手册、服务指南等资料万余册。另一方面代理监管平稳发展。2024年完成代理师备案审核 209人次，代理师首次执业备案72人次、代理师执业备案59人次、代理师注销执业备案78人次，新设立代理机构12家、新增代理分支机构18家，全部按照国家局时限要求审查完毕。</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运行成本分析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2024年，全年预算数为429.80万元，支出382.09万元，其中，基本支出为281.85万元，项目支出100.24万元。代办处严格执行中央八项规定和财务管理制度，根据年初预算，除优先安排人员基本经费支出外，合理安排日常公用经费资金及项目资金，做到厉行节约、精打细算，把有限的资金用到刀刃上，保证代办处各项工作的正常运转。管理效率分析</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制度建设情况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为加强财务管理，规范财务收支行为，根据《中华人民共和国预算法》《中华人民共和国会计法》等法律法规和《湖南省市场监督管理局财务管理办法》等相关规定，结合国家知识产权局专利局长沙代办中心实际，制定了《国家知识产权局专利局长沙代办中心财务管理办法》。规范了预算管理、收入和支出管理、资产和核算管理、报账管理、监督检查等事项。</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项目库建立情况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代办处实施动态管理项目库，2024年新增入库项目1项，实现项目储备与年度预算精准对接，提升资金分配科学性。</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单位支出标准体系建设情况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代办处严格执行单位财务管理及内控管理制度，并按财政要求细化支出分类标准，如差旅费、培训费、设备购置费等，全年支出偏差率控制在5%以内，未出现超标准支出问题。</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核心绩效指标体系建设情况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代办处严格按照国家局分配的任务指标及工作要求，规范办理各项业务。并圆满完成业务工作质量考核。</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内部控制工作情况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一是不断健全和完善内部管理制度，建立了涵盖财务、采购、资产、合同、公务接待、公务用车等制度体系。注重优化业务流程，持续完善预算、收支、采购、资产、项目、合同等六大业务领域内部控制。二是严格执行制度。严格财务报销审核，强化经费计划审批，建立事前、事中、事后全流程管控机制，确保资金资产安全，推进财务工作规范化运行。</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 w:hAnsi="仿宋" w:eastAsia="仿宋" w:cs="Times New Roman"/>
          <w:snapToGrid w:val="0"/>
          <w:color w:val="000000"/>
          <w:sz w:val="32"/>
          <w:szCs w:val="32"/>
          <w:lang w:val="en-US" w:eastAsia="zh-CN" w:bidi="ar-SA"/>
        </w:rPr>
      </w:pPr>
      <w:r>
        <w:rPr>
          <w:rFonts w:hint="eastAsia" w:ascii="仿宋" w:hAnsi="仿宋" w:eastAsia="仿宋" w:cs="Times New Roman"/>
          <w:snapToGrid w:val="0"/>
          <w:color w:val="000000"/>
          <w:sz w:val="32"/>
          <w:szCs w:val="32"/>
          <w:lang w:val="en-US" w:eastAsia="zh-CN" w:bidi="ar-SA"/>
        </w:rPr>
        <w:t>预算编制和执行情况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2024年度，代办处高度重视预算编制及执行工作，切实提高预算编制质量，科学合理安排部门预算支出，优化支出结构，严控一般性支出，将绩效管理融入预算资金管理的全过程。严格落实习惯过“紧日子”要求，较好保障了机关运转和各项重点工作的经费需求。预算执行进度总体较好，预算执行率</w:t>
      </w:r>
      <w:r>
        <w:rPr>
          <w:rFonts w:hint="eastAsia" w:ascii="仿宋_GB2312" w:hAnsi="仿宋_GB2312" w:eastAsia="仿宋_GB2312" w:cs="仿宋_GB2312"/>
          <w:snapToGrid w:val="0"/>
          <w:color w:val="auto"/>
          <w:sz w:val="32"/>
          <w:szCs w:val="32"/>
          <w:lang w:val="en-US" w:eastAsia="zh-CN" w:bidi="ar-SA"/>
        </w:rPr>
        <w:t>为88.90%。</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 w:hAnsi="仿宋" w:eastAsia="仿宋" w:cs="Times New Roman"/>
          <w:snapToGrid w:val="0"/>
          <w:color w:val="000000"/>
          <w:sz w:val="32"/>
          <w:szCs w:val="32"/>
          <w:lang w:val="en-US" w:eastAsia="zh-CN" w:bidi="ar-SA"/>
        </w:rPr>
      </w:pPr>
      <w:r>
        <w:rPr>
          <w:rFonts w:hint="eastAsia" w:ascii="仿宋" w:hAnsi="仿宋" w:eastAsia="仿宋" w:cs="Times New Roman"/>
          <w:snapToGrid w:val="0"/>
          <w:color w:val="000000"/>
          <w:sz w:val="32"/>
          <w:szCs w:val="32"/>
          <w:lang w:val="en-US" w:eastAsia="zh-CN" w:bidi="ar-SA"/>
        </w:rPr>
        <w:t>采购管理情况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严格执行“应采尽采”的政策要求，对代办处提出的采购需求进行审核把关。限额标准以下的项目，原则上在“电子卖场”采购，限额标准以上的采购项目严格执行政府采购程序和要求。</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履职效能和社会效应方面</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围绕“三个窗口”建设、“青年文明号”创建工作主动作为，不断延伸服务，做好知识产权法治文化建设宣传工作。一是搭建“湖南省专利转化运用专项行动云展厅”。根据《湖南省专利转化运用专项行动实施方案》和省局安排部署，与主流媒体合作开展专利转化运用专项行动系列宣传，打造元宇宙空间技术驱动的“湖南专利转化运用案例云展馆”，全面展示我省专利转化工作动态、典型案例、转化成果，并为公众介绍国家及我省转化政策，构建了广覆盖、多维度、全方位、立体化“专利转化运用普及”大宣传格局。二是开展专利法实施细则修订宣贯。根据国家局省局工作要求，结合重点内容编辑代办业务工作指引和普法图解手册，创新形式制作动图页面，在主流媒体和省局网站播放展示，受理大厅通过设置宣传展板、印发折页手册5000余册同步宣传。三是开展知识产权法律知识有奖竞答。联合新媒体线上推广知识产权法律知识有奖竞答活动，活动吸引了社会各界人士的广泛参与，共计约23.5万人参与答题，答题总次数307万余次，正确率高达91.8%，留言反馈好评如潮。四是策划知识产权宣传周活动。创新传播形式，制作知识产权普法微视频在媒体专栏点击播放量超22万人次，开展公众开放日活动，组织高校师生和公众代表参与，讲授公开课、实地参观并介绍业务流程，营造良好知识产权文化氛围。五是开展青年文明创建活动。按照“亮身份、亮形象、亮承诺”的要求，在受理大厅展现活动标语，面向服务对象亮明青年文明号创建标识、监督电话、示范承诺等，增强活动感知度，彰显创建新内涵，弘扬职业文明时代新理念。</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000000"/>
          <w:sz w:val="32"/>
          <w:szCs w:val="32"/>
          <w:lang w:val="en-US" w:eastAsia="zh-CN" w:bidi="ar-SA"/>
        </w:rPr>
      </w:pPr>
      <w:r>
        <w:rPr>
          <w:rFonts w:hint="eastAsia" w:ascii="楷体" w:hAnsi="楷体" w:eastAsia="楷体" w:cs="楷体"/>
          <w:snapToGrid w:val="0"/>
          <w:color w:val="000000"/>
          <w:sz w:val="32"/>
          <w:szCs w:val="32"/>
          <w:lang w:val="en-US" w:eastAsia="zh-CN" w:bidi="ar-SA"/>
        </w:rPr>
        <w:t>可持续发展能力方面</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始终坚持把党的政治建设摆在首位，坚持不懈用习近平新时代中国特色社会主义思想凝心铸魂，认真贯彻新时代党的组织路线，围绕抓党建促业务、抓业务促发展主线，落实全面从严治党主体责任，加强基层党组织建设，坚定理想信念、坚决改进作风，更好发挥战斗堡垒作用，以湖南市场监管优质服务推动创新高质量发展。</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聚焦党建引领，筑牢政治底色。始终坚持把党的政治建设摆在首位，认真学习局党组会议精神，落实全面从严治党主体责任，结合主题教育扎实开展“一月一课一片一实践”主题党日活动和党的二十届三中全会精神学习，全体党员上微党课，谈学习心得，谈事业发展，进一步推动党建与业务深度融合。支部严格落实标准化规范化建设要求，推进“三表率一模范”机关和“四强”党支部建设，加强开展“清廉市监”“清廉单元”建设，抓好行风作风整治，切实优化窗口服务并取得良好效果。代办处严守政治规矩，严格纪律约束，不断加强补贴款使用管理、固定资产管理、审查账号管理、网络安全管理，防范发生系统风险。</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聚焦主责主业，提升服务效能。配合国家局落实有关业务规则调整，不断畅通“互联网+”政务服务，推动专利业务“网上办、掌上办”，将线上线下服务、分类精准服务有机结合，不断提高本地业务办理率。严守质量工作生命线，所有业务均采用A、B角和业务受理审核校验机制，引入自检、互检、抽检等措施，完善业务流程管理，细化岗位业务和操作流程。同时，定期组织开展内部学习培训和业务问题分析会，建立业务质量档案卡，落实“首问责任”、“限时办结”、“一次性告知”等制度要求，结合质量反馈进行考核并给予奖惩。</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聚焦自身建设，保障工作考核。积极参加国家局、省局及相关单位开展的业务培训，制定年度调研计划分组赴兄弟省份开展交流学习，2024年已选派15人次参加线下国家局培训7次、省内培训3次，参加线上国家局培训30余次，8人分三组赴湖北、江西、贵州、广西、甘肃、青海等代办处开展调研走访，学习先进经验。下半年，国知局专利局初审流程部和国防知识产权局开展实地业务工作检查，代办处对照检查内容，</w:t>
      </w:r>
      <w:bookmarkStart w:id="0" w:name="_GoBack"/>
      <w:bookmarkEnd w:id="0"/>
      <w:r>
        <w:rPr>
          <w:rFonts w:hint="eastAsia" w:ascii="仿宋_GB2312" w:hAnsi="仿宋_GB2312" w:eastAsia="仿宋_GB2312" w:cs="仿宋_GB2312"/>
          <w:snapToGrid w:val="0"/>
          <w:color w:val="000000"/>
          <w:sz w:val="32"/>
          <w:szCs w:val="32"/>
          <w:lang w:val="en-US" w:eastAsia="zh-CN" w:bidi="ar-SA"/>
        </w:rPr>
        <w:t>组织召开专题会议，细化任务分工，专利业务办理等工作得到了检查组的高度认可和好评。</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楷体" w:hAnsi="楷体" w:eastAsia="楷体" w:cs="楷体"/>
          <w:snapToGrid w:val="0"/>
          <w:color w:val="auto"/>
          <w:sz w:val="32"/>
          <w:szCs w:val="32"/>
          <w:lang w:val="en-US" w:eastAsia="zh-CN" w:bidi="ar-SA"/>
        </w:rPr>
      </w:pPr>
      <w:r>
        <w:rPr>
          <w:rFonts w:hint="eastAsia" w:ascii="楷体" w:hAnsi="楷体" w:eastAsia="楷体" w:cs="楷体"/>
          <w:snapToGrid w:val="0"/>
          <w:color w:val="auto"/>
          <w:sz w:val="32"/>
          <w:szCs w:val="32"/>
          <w:lang w:val="en-US" w:eastAsia="zh-CN" w:bidi="ar-SA"/>
        </w:rPr>
        <w:t>服务对象满意度方面</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代办处积极开展专利业务受理审查，突出转化运用，不断提升业务本地办理率的同时，不断提升服务质量，实现了业务质量“零差错”，服务对象满意度达到了95%。</w:t>
      </w:r>
    </w:p>
    <w:p>
      <w:pPr>
        <w:pStyle w:val="17"/>
        <w:keepNext w:val="0"/>
        <w:keepLines w:val="0"/>
        <w:pageBreakBefore w:val="0"/>
        <w:kinsoku/>
        <w:wordWrap/>
        <w:overflowPunct/>
        <w:topLinePunct w:val="0"/>
        <w:bidi w:val="0"/>
        <w:spacing w:line="600" w:lineRule="exact"/>
        <w:ind w:left="0" w:leftChars="0" w:firstLine="640" w:firstLineChars="200"/>
        <w:jc w:val="both"/>
        <w:rPr>
          <w:rFonts w:ascii="黑体" w:hAnsi="黑体" w:eastAsia="黑体" w:cs="Times New Roman"/>
          <w:sz w:val="32"/>
          <w:szCs w:val="32"/>
        </w:rPr>
      </w:pP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w:t>
      </w:r>
      <w:r>
        <w:rPr>
          <w:rFonts w:hint="eastAsia" w:ascii="黑体" w:hAnsi="黑体" w:eastAsia="黑体" w:cs="Times New Roman"/>
          <w:sz w:val="32"/>
          <w:szCs w:val="32"/>
          <w:highlight w:val="none"/>
        </w:rPr>
        <w:t>存在的问题及原因分析</w:t>
      </w:r>
    </w:p>
    <w:p>
      <w:pPr>
        <w:pStyle w:val="10"/>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年，代办处财务运行整体平稳有序，预算支出管理按要求不断规范，但仍存在部分问题和不足。</w:t>
      </w: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预算绩效目标指标设置仍有待优化；</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预算编制科学合理性有待提高；</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个别项目预算执行率不高。</w:t>
      </w:r>
    </w:p>
    <w:p>
      <w:pPr>
        <w:pStyle w:val="17"/>
        <w:keepNext w:val="0"/>
        <w:keepLines w:val="0"/>
        <w:pageBreakBefore w:val="0"/>
        <w:kinsoku/>
        <w:wordWrap/>
        <w:overflowPunct/>
        <w:topLinePunct w:val="0"/>
        <w:bidi w:val="0"/>
        <w:spacing w:line="600" w:lineRule="exact"/>
        <w:ind w:left="0" w:leftChars="0" w:firstLine="640" w:firstLineChars="200"/>
        <w:jc w:val="both"/>
        <w:rPr>
          <w:rFonts w:ascii="黑体" w:hAnsi="黑体" w:eastAsia="黑体" w:cs="Times New Roman"/>
          <w:sz w:val="32"/>
          <w:szCs w:val="32"/>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highlight w:val="none"/>
        </w:rPr>
        <w:t>、</w:t>
      </w:r>
      <w:r>
        <w:rPr>
          <w:rFonts w:ascii="黑体" w:hAnsi="黑体" w:eastAsia="黑体" w:cs="Times New Roman"/>
          <w:sz w:val="32"/>
          <w:szCs w:val="32"/>
          <w:highlight w:val="none"/>
        </w:rPr>
        <w:t>改进措施</w:t>
      </w:r>
    </w:p>
    <w:p>
      <w:pPr>
        <w:pStyle w:val="10"/>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长沙代办处预算绩效管理工作将在省局指导下，结合单位实际进一步完善有关制度、细化工作措施、规范操作执行，督促工作人员加强学习、提升能力、不断提高预算绩效管理水平。</w:t>
      </w:r>
    </w:p>
    <w:p>
      <w:pPr>
        <w:pStyle w:val="10"/>
        <w:keepNext w:val="0"/>
        <w:keepLines w:val="0"/>
        <w:pageBreakBefore w:val="0"/>
        <w:kinsoku/>
        <w:wordWrap/>
        <w:overflowPunct/>
        <w:topLinePunct w:val="0"/>
        <w:bidi w:val="0"/>
        <w:spacing w:line="600" w:lineRule="exact"/>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进一步优化预算支出绩效目标设置。根据有关中长期工作规划、项目实施方案、与项目立项直接相关的依据文件等，分析重点工作任务、需要解决的主要问题和相关财政支出的政策意图，研究明确项目的总体绩效目标并根据任务内容，分析投入资源、开展活动、质量标准、成本要求、产出内容、产生效果，设置绩效指标，同时参考相关历史数据、行业标准等，科学设定指标值，既要在考虑可实现性的基础上，也要从严、从高设定，以充分发挥绩效目标对预算编制执行的引导约束和控制作用。</w:t>
      </w:r>
    </w:p>
    <w:p>
      <w:pPr>
        <w:pStyle w:val="10"/>
        <w:keepNext w:val="0"/>
        <w:keepLines w:val="0"/>
        <w:pageBreakBefore w:val="0"/>
        <w:kinsoku/>
        <w:wordWrap/>
        <w:overflowPunct/>
        <w:topLinePunct w:val="0"/>
        <w:bidi w:val="0"/>
        <w:spacing w:line="600" w:lineRule="exact"/>
        <w:ind w:left="0" w:leftChars="0"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进一步科学精准编制预算。一是把握年度工作任务要求，改善编制方法，把部门预算尽可能编实、编细、编全。二是着力突出预算编制“过紧日子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的主基调，厉行节约做工作，算好精准账，做到应减尽减</w:t>
      </w:r>
      <w:r>
        <w:rPr>
          <w:rFonts w:hint="eastAsia" w:ascii="仿宋_GB2312" w:hAnsi="仿宋_GB2312" w:eastAsia="仿宋_GB2312" w:cs="仿宋_GB2312"/>
          <w:color w:val="auto"/>
          <w:sz w:val="32"/>
          <w:szCs w:val="32"/>
          <w:lang w:eastAsia="zh-CN"/>
        </w:rPr>
        <w:t>。</w:t>
      </w:r>
    </w:p>
    <w:p>
      <w:pPr>
        <w:pStyle w:val="10"/>
        <w:keepNext w:val="0"/>
        <w:keepLines w:val="0"/>
        <w:pageBreakBefore w:val="0"/>
        <w:kinsoku/>
        <w:wordWrap/>
        <w:overflowPunct/>
        <w:topLinePunct w:val="0"/>
        <w:bidi w:val="0"/>
        <w:spacing w:line="600" w:lineRule="exact"/>
        <w:ind w:left="0" w:leftChars="0"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进一步强化预算执行进度要求。一是加强对各项目年度工作的计划性，形成项目支出的任务清单、责任清单和进度清单，压实支出主体责任。二是切实加强组织推动，加大工作力度，抓紧梳理各项支出，认真落实相关政策措施，在保障资金安全和使用效益的前提下，不断加快支出进度</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pacing w:line="600" w:lineRule="exact"/>
        <w:ind w:left="0" w:leftChars="0" w:firstLine="640" w:firstLineChars="200"/>
        <w:jc w:val="both"/>
        <w:rPr>
          <w:rFonts w:ascii="黑体" w:hAnsi="黑体" w:eastAsia="黑体" w:cs="Times New Roman"/>
          <w:sz w:val="32"/>
          <w:szCs w:val="32"/>
        </w:rPr>
      </w:pP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、单位</w:t>
      </w:r>
      <w:r>
        <w:rPr>
          <w:rFonts w:ascii="黑体" w:hAnsi="黑体" w:eastAsia="黑体" w:cs="Times New Roman"/>
          <w:sz w:val="32"/>
          <w:szCs w:val="32"/>
        </w:rPr>
        <w:t>整体支出绩效自评结果拟应用和公开情况</w:t>
      </w:r>
    </w:p>
    <w:p>
      <w:pPr>
        <w:pStyle w:val="17"/>
        <w:keepNext w:val="0"/>
        <w:keepLines w:val="0"/>
        <w:pageBreakBefore w:val="0"/>
        <w:widowControl/>
        <w:kinsoku/>
        <w:wordWrap/>
        <w:overflowPunct/>
        <w:topLinePunct w:val="0"/>
        <w:autoSpaceDE w:val="0"/>
        <w:autoSpaceDN w:val="0"/>
        <w:bidi w:val="0"/>
        <w:adjustRightInd w:val="0"/>
        <w:snapToGrid w:val="0"/>
        <w:spacing w:line="600" w:lineRule="exact"/>
        <w:ind w:left="0" w:leftChars="0" w:firstLine="624" w:firstLineChars="200"/>
        <w:jc w:val="both"/>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lang w:eastAsia="zh-CN"/>
        </w:rPr>
        <w:t>2024</w:t>
      </w:r>
      <w:r>
        <w:rPr>
          <w:rFonts w:hint="eastAsia" w:ascii="仿宋_GB2312" w:hAnsi="仿宋_GB2312" w:eastAsia="仿宋_GB2312" w:cs="仿宋_GB2312"/>
          <w:color w:val="auto"/>
          <w:spacing w:val="-4"/>
          <w:sz w:val="32"/>
          <w:szCs w:val="32"/>
        </w:rPr>
        <w:t>年，代办处严格按照年初预算批复认真组织实施</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严格执行财政相关管理规定，确保了单位正常运行，较好地完成了</w:t>
      </w:r>
      <w:r>
        <w:rPr>
          <w:rFonts w:hint="eastAsia" w:ascii="仿宋_GB2312" w:hAnsi="仿宋_GB2312" w:eastAsia="仿宋_GB2312" w:cs="仿宋_GB2312"/>
          <w:color w:val="auto"/>
          <w:spacing w:val="-4"/>
          <w:sz w:val="32"/>
          <w:szCs w:val="32"/>
          <w:lang w:eastAsia="zh-CN"/>
        </w:rPr>
        <w:t>2024</w:t>
      </w:r>
      <w:r>
        <w:rPr>
          <w:rFonts w:hint="eastAsia" w:ascii="仿宋_GB2312" w:hAnsi="仿宋_GB2312" w:eastAsia="仿宋_GB2312" w:cs="仿宋_GB2312"/>
          <w:color w:val="auto"/>
          <w:spacing w:val="-4"/>
          <w:sz w:val="32"/>
          <w:szCs w:val="32"/>
        </w:rPr>
        <w:t>年部门预算编制和决算汇总工作，单位整体支出绩效目标实现较好，全面完成绩效目标任务，绩效自评结果为</w:t>
      </w:r>
      <w:r>
        <w:rPr>
          <w:rFonts w:hint="eastAsia" w:ascii="仿宋_GB2312" w:hAnsi="仿宋_GB2312" w:eastAsia="仿宋_GB2312" w:cs="仿宋_GB2312"/>
          <w:color w:val="auto"/>
          <w:spacing w:val="-4"/>
          <w:sz w:val="32"/>
          <w:szCs w:val="32"/>
          <w:lang w:val="en-US" w:eastAsia="zh-CN"/>
        </w:rPr>
        <w:t>优</w:t>
      </w:r>
      <w:r>
        <w:rPr>
          <w:rFonts w:hint="eastAsia" w:ascii="仿宋_GB2312" w:hAnsi="仿宋_GB2312" w:eastAsia="仿宋_GB2312" w:cs="仿宋_GB2312"/>
          <w:color w:val="auto"/>
          <w:spacing w:val="-4"/>
          <w:sz w:val="32"/>
          <w:szCs w:val="32"/>
        </w:rPr>
        <w:t>。</w:t>
      </w:r>
    </w:p>
    <w:p>
      <w:pPr>
        <w:pStyle w:val="17"/>
        <w:keepNext w:val="0"/>
        <w:keepLines w:val="0"/>
        <w:pageBreakBefore w:val="0"/>
        <w:numPr>
          <w:ilvl w:val="0"/>
          <w:numId w:val="4"/>
        </w:numPr>
        <w:kinsoku/>
        <w:wordWrap/>
        <w:overflowPunct/>
        <w:topLinePunct w:val="0"/>
        <w:bidi w:val="0"/>
        <w:spacing w:line="600" w:lineRule="exact"/>
        <w:ind w:left="0" w:leftChars="0" w:firstLine="640" w:firstLineChars="200"/>
        <w:jc w:val="both"/>
        <w:rPr>
          <w:rFonts w:hint="eastAsia" w:ascii="黑体" w:hAnsi="黑体" w:eastAsia="黑体" w:cs="Times New Roman"/>
          <w:snapToGrid w:val="0"/>
          <w:color w:val="000000"/>
          <w:sz w:val="32"/>
          <w:szCs w:val="32"/>
          <w:lang w:val="en-US" w:eastAsia="zh-CN" w:bidi="ar-SA"/>
        </w:rPr>
      </w:pPr>
      <w:r>
        <w:rPr>
          <w:rFonts w:hint="eastAsia" w:ascii="黑体" w:hAnsi="黑体" w:eastAsia="黑体" w:cs="Times New Roman"/>
          <w:snapToGrid w:val="0"/>
          <w:color w:val="000000"/>
          <w:sz w:val="32"/>
          <w:szCs w:val="32"/>
          <w:lang w:val="en-US" w:eastAsia="zh-CN" w:bidi="ar-SA"/>
        </w:rPr>
        <w:t>其他需要说明的情况</w:t>
      </w:r>
    </w:p>
    <w:p>
      <w:pPr>
        <w:pStyle w:val="17"/>
        <w:keepNext w:val="0"/>
        <w:keepLines w:val="0"/>
        <w:pageBreakBefore w:val="0"/>
        <w:kinsoku/>
        <w:wordWrap/>
        <w:overflowPunct/>
        <w:topLinePunct w:val="0"/>
        <w:bidi w:val="0"/>
        <w:spacing w:line="600" w:lineRule="exact"/>
        <w:ind w:left="0" w:leftChars="0" w:firstLine="624" w:firstLineChars="200"/>
        <w:jc w:val="both"/>
        <w:rPr>
          <w:rFonts w:hint="eastAsia" w:ascii="仿宋" w:hAnsi="仿宋" w:eastAsia="仿宋"/>
          <w:spacing w:val="-4"/>
          <w:sz w:val="32"/>
          <w:szCs w:val="32"/>
          <w:lang w:val="en-US" w:eastAsia="zh-CN"/>
        </w:rPr>
      </w:pPr>
      <w:r>
        <w:rPr>
          <w:rFonts w:hint="eastAsia" w:ascii="仿宋" w:hAnsi="仿宋" w:eastAsia="仿宋"/>
          <w:spacing w:val="-4"/>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44"/>
          <w:szCs w:val="44"/>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年度单位整体支出绩效评价基础数据表</w:t>
      </w:r>
    </w:p>
    <w:tbl>
      <w:tblPr>
        <w:tblStyle w:val="11"/>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240"/>
        <w:gridCol w:w="1150"/>
        <w:gridCol w:w="822"/>
        <w:gridCol w:w="1092"/>
        <w:gridCol w:w="1075"/>
        <w:gridCol w:w="1046"/>
        <w:gridCol w:w="9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240" w:type="dxa"/>
            <w:vMerge w:val="restart"/>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财政供养人员情况（人）</w:t>
            </w:r>
          </w:p>
        </w:tc>
        <w:tc>
          <w:tcPr>
            <w:tcW w:w="1972"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
                <w:bCs/>
                <w:color w:val="auto"/>
                <w:sz w:val="20"/>
                <w:szCs w:val="20"/>
              </w:rPr>
            </w:pPr>
            <w:r>
              <w:rPr>
                <w:rFonts w:hint="default" w:ascii="Times New Roman" w:hAnsi="Times New Roman" w:eastAsia="仿宋_GB2312" w:cs="Times New Roman"/>
                <w:b/>
                <w:bCs/>
                <w:color w:val="auto"/>
                <w:sz w:val="20"/>
                <w:szCs w:val="20"/>
              </w:rPr>
              <w:t>编制数</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
                <w:bCs/>
                <w:color w:val="auto"/>
                <w:sz w:val="20"/>
                <w:szCs w:val="20"/>
              </w:rPr>
            </w:pPr>
            <w:r>
              <w:rPr>
                <w:rFonts w:hint="default" w:ascii="Times New Roman" w:hAnsi="Times New Roman" w:cs="Times New Roman"/>
                <w:b/>
                <w:bCs/>
                <w:color w:val="auto"/>
                <w:sz w:val="20"/>
                <w:szCs w:val="20"/>
                <w:lang w:eastAsia="zh-CN"/>
              </w:rPr>
              <w:t>2024</w:t>
            </w:r>
            <w:r>
              <w:rPr>
                <w:rFonts w:hint="default" w:ascii="Times New Roman" w:hAnsi="Times New Roman" w:eastAsia="仿宋_GB2312" w:cs="Times New Roman"/>
                <w:b/>
                <w:bCs/>
                <w:color w:val="auto"/>
                <w:sz w:val="20"/>
                <w:szCs w:val="20"/>
              </w:rPr>
              <w:t>年实际在职人数</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
                <w:bCs/>
                <w:color w:val="auto"/>
                <w:sz w:val="20"/>
                <w:szCs w:val="20"/>
              </w:rPr>
            </w:pPr>
            <w:r>
              <w:rPr>
                <w:rFonts w:hint="default" w:ascii="Times New Roman" w:hAnsi="Times New Roman" w:eastAsia="仿宋_GB2312" w:cs="Times New Roman"/>
                <w:b/>
                <w:bCs/>
                <w:color w:val="auto"/>
                <w:sz w:val="20"/>
                <w:szCs w:val="20"/>
              </w:rPr>
              <w:t>控制率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vMerge w:val="continue"/>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cs="Times New Roman"/>
                <w:sz w:val="20"/>
                <w:szCs w:val="20"/>
                <w:highlight w:val="none"/>
                <w:lang w:val="en-US"/>
              </w:rPr>
              <w:t>4</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6</w:t>
            </w:r>
          </w:p>
        </w:tc>
        <w:tc>
          <w:tcPr>
            <w:tcW w:w="1975"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经费控制情况（万元）</w:t>
            </w:r>
          </w:p>
        </w:tc>
        <w:tc>
          <w:tcPr>
            <w:tcW w:w="1972"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
                <w:bCs/>
                <w:color w:val="auto"/>
                <w:sz w:val="20"/>
                <w:szCs w:val="20"/>
              </w:rPr>
            </w:pPr>
            <w:r>
              <w:rPr>
                <w:rFonts w:hint="default" w:ascii="Times New Roman" w:hAnsi="Times New Roman" w:cs="Times New Roman"/>
                <w:b/>
                <w:bCs/>
                <w:color w:val="auto"/>
                <w:sz w:val="20"/>
                <w:szCs w:val="20"/>
                <w:lang w:eastAsia="zh-CN"/>
              </w:rPr>
              <w:t>202</w:t>
            </w:r>
            <w:r>
              <w:rPr>
                <w:rFonts w:hint="default" w:ascii="Times New Roman" w:hAnsi="Times New Roman" w:cs="Times New Roman"/>
                <w:b/>
                <w:bCs/>
                <w:color w:val="auto"/>
                <w:sz w:val="20"/>
                <w:szCs w:val="20"/>
                <w:lang w:val="en-US" w:eastAsia="zh-CN"/>
              </w:rPr>
              <w:t>3</w:t>
            </w:r>
            <w:r>
              <w:rPr>
                <w:rFonts w:hint="default" w:ascii="Times New Roman" w:hAnsi="Times New Roman" w:eastAsia="仿宋_GB2312" w:cs="Times New Roman"/>
                <w:b/>
                <w:bCs/>
                <w:color w:val="auto"/>
                <w:sz w:val="20"/>
                <w:szCs w:val="20"/>
              </w:rPr>
              <w:t>年决算数</w:t>
            </w:r>
          </w:p>
        </w:tc>
        <w:tc>
          <w:tcPr>
            <w:tcW w:w="2167"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
                <w:bCs/>
                <w:color w:val="auto"/>
                <w:sz w:val="20"/>
                <w:szCs w:val="20"/>
              </w:rPr>
            </w:pPr>
            <w:r>
              <w:rPr>
                <w:rFonts w:hint="default" w:ascii="Times New Roman" w:hAnsi="Times New Roman" w:cs="Times New Roman"/>
                <w:b/>
                <w:bCs/>
                <w:color w:val="auto"/>
                <w:sz w:val="20"/>
                <w:szCs w:val="20"/>
                <w:lang w:eastAsia="zh-CN"/>
              </w:rPr>
              <w:t>2024</w:t>
            </w:r>
            <w:r>
              <w:rPr>
                <w:rFonts w:hint="default" w:ascii="Times New Roman" w:hAnsi="Times New Roman" w:eastAsia="仿宋_GB2312" w:cs="Times New Roman"/>
                <w:b/>
                <w:bCs/>
                <w:color w:val="auto"/>
                <w:sz w:val="20"/>
                <w:szCs w:val="20"/>
              </w:rPr>
              <w:t>年预算数</w:t>
            </w:r>
          </w:p>
        </w:tc>
        <w:tc>
          <w:tcPr>
            <w:tcW w:w="1975" w:type="dxa"/>
            <w:gridSpan w:val="2"/>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
                <w:bCs/>
                <w:color w:val="auto"/>
                <w:sz w:val="20"/>
                <w:szCs w:val="20"/>
              </w:rPr>
            </w:pPr>
            <w:r>
              <w:rPr>
                <w:rFonts w:hint="default" w:ascii="Times New Roman" w:hAnsi="Times New Roman" w:eastAsia="仿宋_GB2312" w:cs="Times New Roman"/>
                <w:b/>
                <w:bCs/>
                <w:color w:val="auto"/>
                <w:sz w:val="20"/>
                <w:szCs w:val="20"/>
              </w:rPr>
              <w:t>202</w:t>
            </w:r>
            <w:r>
              <w:rPr>
                <w:rFonts w:hint="default" w:ascii="Times New Roman" w:hAnsi="Times New Roman" w:cs="Times New Roman"/>
                <w:b/>
                <w:bCs/>
                <w:color w:val="auto"/>
                <w:sz w:val="20"/>
                <w:szCs w:val="20"/>
                <w:lang w:val="en-US" w:eastAsia="zh-CN"/>
              </w:rPr>
              <w:t>4</w:t>
            </w:r>
            <w:r>
              <w:rPr>
                <w:rFonts w:hint="default" w:ascii="Times New Roman" w:hAnsi="Times New Roman" w:eastAsia="仿宋_GB2312" w:cs="Times New Roman"/>
                <w:b/>
                <w:bCs/>
                <w:color w:val="auto"/>
                <w:sz w:val="20"/>
                <w:szCs w:val="20"/>
              </w:rPr>
              <w:t>年决算数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三公经费</w:t>
            </w:r>
            <w:r>
              <w:rPr>
                <w:rFonts w:hint="default" w:ascii="Times New Roman" w:hAnsi="Times New Roman" w:cs="Times New Roman"/>
                <w:color w:val="auto"/>
                <w:sz w:val="20"/>
                <w:szCs w:val="20"/>
                <w:lang w:eastAsia="zh-CN"/>
              </w:rPr>
              <w:t>：</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1.43</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2.10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1.84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1、公务用车购置和维护经费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1.35</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eastAsia="zh-CN"/>
              </w:rPr>
              <w:t>1.6</w:t>
            </w:r>
            <w:r>
              <w:rPr>
                <w:rFonts w:hint="default" w:ascii="Times New Roman" w:hAnsi="Times New Roman" w:eastAsia="仿宋_GB2312" w:cs="Times New Roman"/>
                <w:color w:val="auto"/>
                <w:sz w:val="20"/>
                <w:szCs w:val="20"/>
                <w:highlight w:val="none"/>
                <w:lang w:val="en-US" w:eastAsia="zh-CN"/>
              </w:rPr>
              <w:t>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1.62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其中：公车购置</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0</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公车运行维护</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1.35</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1.60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1.62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2、出国经费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0</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3、公务接待</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0.08</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eastAsia="zh-CN"/>
              </w:rPr>
              <w:t>0</w:t>
            </w:r>
            <w:r>
              <w:rPr>
                <w:rFonts w:hint="default" w:ascii="Times New Roman" w:hAnsi="Times New Roman" w:eastAsia="仿宋_GB2312" w:cs="Times New Roman"/>
                <w:color w:val="auto"/>
                <w:sz w:val="20"/>
                <w:szCs w:val="20"/>
                <w:highlight w:val="none"/>
                <w:lang w:val="en-US" w:eastAsia="zh-CN"/>
              </w:rPr>
              <w:t>.50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项目支出：</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83.72</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99.14</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100.24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1、业务工作经费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83.72</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99.14</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100.24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2、运行维护经费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0</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3、省级专项资金（每个专项一行）</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0</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0</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公用经费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rPr>
              <w:t>150.39</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150.00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129.62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其中：办公经费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5.47</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5</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6.33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水费、电费、差旅费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9.25</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3</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3.43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          会议费、培训费</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rPr>
              <w:t>3</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0</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政府采购金额</w:t>
            </w:r>
          </w:p>
        </w:tc>
        <w:tc>
          <w:tcPr>
            <w:tcW w:w="1972" w:type="dxa"/>
            <w:gridSpan w:val="2"/>
            <w:noWrap w:val="0"/>
            <w:vAlign w:val="center"/>
          </w:tcPr>
          <w:p>
            <w:pPr>
              <w:spacing w:line="360" w:lineRule="exact"/>
              <w:ind w:firstLine="400" w:firstLineChars="200"/>
              <w:jc w:val="center"/>
              <w:rPr>
                <w:rFonts w:hint="default" w:ascii="Times New Roman" w:hAnsi="Times New Roman" w:eastAsia="仿宋_GB2312" w:cs="Times New Roman"/>
                <w:color w:val="auto"/>
                <w:sz w:val="20"/>
                <w:szCs w:val="20"/>
              </w:rPr>
            </w:pPr>
          </w:p>
        </w:tc>
        <w:tc>
          <w:tcPr>
            <w:tcW w:w="2167" w:type="dxa"/>
            <w:gridSpan w:val="2"/>
            <w:noWrap w:val="0"/>
            <w:vAlign w:val="center"/>
          </w:tcPr>
          <w:p>
            <w:pPr>
              <w:spacing w:line="360" w:lineRule="exact"/>
              <w:ind w:firstLine="400" w:firstLineChars="200"/>
              <w:jc w:val="center"/>
              <w:rPr>
                <w:rFonts w:hint="default" w:ascii="Times New Roman" w:hAnsi="Times New Roman" w:eastAsia="仿宋_GB2312" w:cs="Times New Roman"/>
                <w:color w:val="auto"/>
                <w:sz w:val="20"/>
                <w:szCs w:val="20"/>
              </w:rPr>
            </w:pP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400" w:firstLineChars="200"/>
              <w:jc w:val="center"/>
              <w:textAlignment w:val="baseline"/>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 xml:space="preserve">部门基本支出预算调整 </w:t>
            </w:r>
          </w:p>
        </w:tc>
        <w:tc>
          <w:tcPr>
            <w:tcW w:w="1972"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cs="Times New Roman"/>
                <w:sz w:val="20"/>
                <w:szCs w:val="20"/>
                <w:highlight w:val="none"/>
                <w:lang w:val="en-US" w:eastAsia="zh-CN"/>
              </w:rPr>
              <w:t>24.86</w:t>
            </w:r>
          </w:p>
        </w:tc>
        <w:tc>
          <w:tcPr>
            <w:tcW w:w="2167" w:type="dxa"/>
            <w:gridSpan w:val="2"/>
            <w:noWrap w:val="0"/>
            <w:vAlign w:val="center"/>
          </w:tcPr>
          <w:p>
            <w:pPr>
              <w:spacing w:line="360" w:lineRule="exact"/>
              <w:ind w:left="0" w:leftChars="0"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lang w:val="en-US" w:eastAsia="zh-CN"/>
              </w:rPr>
              <w:t>-10.34</w:t>
            </w:r>
          </w:p>
        </w:tc>
        <w:tc>
          <w:tcPr>
            <w:tcW w:w="1975" w:type="dxa"/>
            <w:gridSpan w:val="2"/>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napToGrid/>
                <w:color w:val="000000"/>
                <w:kern w:val="0"/>
                <w:sz w:val="20"/>
                <w:szCs w:val="20"/>
                <w:lang w:val="en-US" w:eastAsia="zh-CN" w:bidi="ar"/>
              </w:rPr>
              <w:t>-10.34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vMerge w:val="restart"/>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rPr>
              <w:t>楼堂馆所控制情况</w:t>
            </w:r>
          </w:p>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r>
              <w:rPr>
                <w:rFonts w:hint="default" w:ascii="Times New Roman" w:hAnsi="Times New Roman" w:cs="Times New Roman"/>
                <w:color w:val="auto"/>
                <w:sz w:val="20"/>
                <w:szCs w:val="20"/>
                <w:lang w:eastAsia="zh-CN"/>
              </w:rPr>
              <w:t>2024</w:t>
            </w:r>
            <w:r>
              <w:rPr>
                <w:rFonts w:hint="default" w:ascii="Times New Roman" w:hAnsi="Times New Roman" w:eastAsia="仿宋_GB2312" w:cs="Times New Roman"/>
                <w:color w:val="auto"/>
                <w:sz w:val="20"/>
                <w:szCs w:val="20"/>
              </w:rPr>
              <w:t>年完工项目）</w:t>
            </w:r>
          </w:p>
        </w:tc>
        <w:tc>
          <w:tcPr>
            <w:tcW w:w="115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lang w:eastAsia="zh-CN"/>
              </w:rPr>
            </w:pPr>
            <w:r>
              <w:rPr>
                <w:rFonts w:hint="default" w:ascii="Times New Roman" w:hAnsi="Times New Roman" w:eastAsia="仿宋_GB2312" w:cs="Times New Roman"/>
                <w:bCs/>
                <w:color w:val="auto"/>
                <w:sz w:val="20"/>
                <w:szCs w:val="20"/>
              </w:rPr>
              <w:t>批复规模</w:t>
            </w:r>
          </w:p>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w:t>
            </w:r>
          </w:p>
        </w:tc>
        <w:tc>
          <w:tcPr>
            <w:tcW w:w="82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实际规模（㎡）</w:t>
            </w:r>
          </w:p>
        </w:tc>
        <w:tc>
          <w:tcPr>
            <w:tcW w:w="109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规模控制率</w:t>
            </w:r>
          </w:p>
        </w:tc>
        <w:tc>
          <w:tcPr>
            <w:tcW w:w="1075"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预算投资</w:t>
            </w:r>
          </w:p>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（万元）</w:t>
            </w:r>
          </w:p>
        </w:tc>
        <w:tc>
          <w:tcPr>
            <w:tcW w:w="1046"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实际投资（万元）</w:t>
            </w:r>
          </w:p>
        </w:tc>
        <w:tc>
          <w:tcPr>
            <w:tcW w:w="929"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bCs/>
                <w:color w:val="auto"/>
                <w:sz w:val="20"/>
                <w:szCs w:val="20"/>
              </w:rPr>
            </w:pPr>
            <w:r>
              <w:rPr>
                <w:rFonts w:hint="default" w:ascii="Times New Roman" w:hAnsi="Times New Roman" w:eastAsia="仿宋_GB2312" w:cs="Times New Roman"/>
                <w:bCs/>
                <w:color w:val="auto"/>
                <w:sz w:val="20"/>
                <w:szCs w:val="20"/>
              </w:rPr>
              <w:t>投资概算控制率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vMerge w:val="continue"/>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textAlignment w:val="baseline"/>
              <w:rPr>
                <w:rFonts w:hint="default" w:ascii="Times New Roman" w:hAnsi="Times New Roman" w:eastAsia="仿宋_GB2312" w:cs="Times New Roman"/>
                <w:color w:val="auto"/>
                <w:sz w:val="20"/>
                <w:szCs w:val="20"/>
              </w:rPr>
            </w:pPr>
          </w:p>
        </w:tc>
        <w:tc>
          <w:tcPr>
            <w:tcW w:w="115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p>
        </w:tc>
        <w:tc>
          <w:tcPr>
            <w:tcW w:w="82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p>
        </w:tc>
        <w:tc>
          <w:tcPr>
            <w:tcW w:w="1092"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p>
        </w:tc>
        <w:tc>
          <w:tcPr>
            <w:tcW w:w="1075"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p>
        </w:tc>
        <w:tc>
          <w:tcPr>
            <w:tcW w:w="1046"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p>
        </w:tc>
        <w:tc>
          <w:tcPr>
            <w:tcW w:w="929"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0" w:type="dxa"/>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厉行节约保障措施</w:t>
            </w:r>
          </w:p>
        </w:tc>
        <w:tc>
          <w:tcPr>
            <w:tcW w:w="6114" w:type="dxa"/>
            <w:gridSpan w:val="6"/>
            <w:noWrap w:val="0"/>
            <w:vAlign w:val="center"/>
          </w:tcPr>
          <w:p>
            <w:pPr>
              <w:keepNext w:val="0"/>
              <w:keepLines w:val="0"/>
              <w:pageBreakBefore w:val="0"/>
              <w:widowControl/>
              <w:kinsoku w:val="0"/>
              <w:wordWrap/>
              <w:overflowPunct/>
              <w:topLinePunct w:val="0"/>
              <w:autoSpaceDE/>
              <w:autoSpaceDN/>
              <w:bidi w:val="0"/>
              <w:adjustRightInd w:val="0"/>
              <w:snapToGrid w:val="0"/>
              <w:spacing w:line="300" w:lineRule="exact"/>
              <w:ind w:firstLine="0" w:firstLineChars="0"/>
              <w:jc w:val="center"/>
              <w:textAlignment w:val="baseline"/>
              <w:rPr>
                <w:rFonts w:hint="default" w:ascii="Times New Roman" w:hAnsi="Times New Roman" w:eastAsia="仿宋_GB2312" w:cs="Times New Roman"/>
                <w:color w:val="auto"/>
                <w:sz w:val="20"/>
                <w:szCs w:val="20"/>
              </w:rPr>
            </w:pPr>
          </w:p>
        </w:tc>
      </w:tr>
    </w:tbl>
    <w:p>
      <w:pPr>
        <w:keepNext w:val="0"/>
        <w:keepLines w:val="0"/>
        <w:pageBreakBefore w:val="0"/>
        <w:kinsoku/>
        <w:wordWrap/>
        <w:overflowPunct/>
        <w:topLinePunct/>
        <w:autoSpaceDE/>
        <w:autoSpaceDN/>
        <w:bidi w:val="0"/>
        <w:spacing w:line="400" w:lineRule="exact"/>
        <w:ind w:firstLine="0" w:firstLineChars="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说明：“项目支出”需要填报基本支出以外的所有项目支出情况，“公用经费”填报基本支出中的一般商品和服务支出。</w:t>
      </w:r>
    </w:p>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黑体" w:cs="Times New Roman"/>
          <w:color w:val="auto"/>
          <w:sz w:val="32"/>
          <w:szCs w:val="32"/>
          <w:lang w:val="en-US" w:eastAsia="zh-CN"/>
        </w:rPr>
      </w:pPr>
      <w:r>
        <w:rPr>
          <w:rFonts w:hint="eastAsia" w:ascii="仿宋_GB2312" w:hAnsi="仿宋_GB2312" w:eastAsia="仿宋_GB2312" w:cs="仿宋_GB2312"/>
          <w:color w:val="auto"/>
          <w:sz w:val="21"/>
          <w:szCs w:val="21"/>
        </w:rPr>
        <w:t>填表人：</w:t>
      </w:r>
      <w:r>
        <w:rPr>
          <w:rFonts w:hint="eastAsia" w:ascii="仿宋_GB2312" w:hAnsi="仿宋_GB2312" w:eastAsia="仿宋_GB2312" w:cs="仿宋_GB2312"/>
          <w:color w:val="auto"/>
          <w:sz w:val="21"/>
          <w:szCs w:val="21"/>
          <w:lang w:val="en-US" w:eastAsia="zh-CN"/>
        </w:rPr>
        <w:t>冯明哲</w:t>
      </w:r>
      <w:r>
        <w:rPr>
          <w:rFonts w:hint="eastAsia" w:ascii="仿宋_GB2312" w:hAnsi="仿宋_GB2312" w:eastAsia="仿宋_GB2312" w:cs="仿宋_GB2312"/>
          <w:color w:val="auto"/>
          <w:sz w:val="21"/>
          <w:szCs w:val="21"/>
        </w:rPr>
        <w:t xml:space="preserve">  填报日期：</w:t>
      </w: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31</w:t>
      </w:r>
      <w:r>
        <w:rPr>
          <w:rFonts w:hint="eastAsia" w:ascii="仿宋_GB2312" w:hAnsi="仿宋_GB2312" w:eastAsia="仿宋_GB2312" w:cs="仿宋_GB2312"/>
          <w:color w:val="auto"/>
          <w:sz w:val="21"/>
          <w:szCs w:val="21"/>
        </w:rPr>
        <w:t xml:space="preserve"> 联系电话：</w:t>
      </w:r>
      <w:r>
        <w:rPr>
          <w:rFonts w:hint="eastAsia" w:ascii="仿宋_GB2312" w:hAnsi="仿宋_GB2312" w:eastAsia="仿宋_GB2312" w:cs="仿宋_GB2312"/>
          <w:sz w:val="21"/>
          <w:szCs w:val="21"/>
          <w:lang w:val="en-US" w:eastAsia="zh-CN"/>
        </w:rPr>
        <w:t xml:space="preserve">13467575936 </w:t>
      </w:r>
      <w:r>
        <w:rPr>
          <w:rFonts w:hint="eastAsia" w:ascii="仿宋_GB2312" w:hAnsi="仿宋_GB2312" w:eastAsia="仿宋_GB2312" w:cs="仿宋_GB2312"/>
          <w:color w:val="auto"/>
          <w:sz w:val="21"/>
          <w:szCs w:val="21"/>
        </w:rPr>
        <w:t xml:space="preserve"> 单位负责人签字：</w:t>
      </w:r>
      <w:r>
        <w:rPr>
          <w:rFonts w:ascii="Times New Roman" w:hAnsi="Times New Roman" w:eastAsia="仿宋_GB2312" w:cs="Times New Roman"/>
          <w:color w:val="auto"/>
          <w:sz w:val="20"/>
          <w:szCs w:val="24"/>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6"/>
          <w:szCs w:val="36"/>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年度单位整体支出绩效自评表</w:t>
      </w:r>
    </w:p>
    <w:tbl>
      <w:tblPr>
        <w:tblStyle w:val="11"/>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02"/>
        <w:gridCol w:w="1003"/>
        <w:gridCol w:w="960"/>
        <w:gridCol w:w="1178"/>
        <w:gridCol w:w="1216"/>
        <w:gridCol w:w="1177"/>
        <w:gridCol w:w="667"/>
        <w:gridCol w:w="811"/>
        <w:gridCol w:w="13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2965" w:type="dxa"/>
            <w:gridSpan w:val="3"/>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省级预算部门、单位名称</w:t>
            </w:r>
          </w:p>
        </w:tc>
        <w:tc>
          <w:tcPr>
            <w:tcW w:w="6389"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sz w:val="18"/>
                <w:szCs w:val="18"/>
              </w:rPr>
              <w:t>国家知识产权局专利局长沙代办处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年度预</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算申请</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（万元）</w:t>
            </w:r>
          </w:p>
        </w:tc>
        <w:tc>
          <w:tcPr>
            <w:tcW w:w="196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年初预算数</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全年预算数</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全年执行数</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分值</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执行率</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96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年度资金总额</w:t>
            </w:r>
          </w:p>
        </w:tc>
        <w:tc>
          <w:tcPr>
            <w:tcW w:w="1178" w:type="dxa"/>
            <w:noWrap w:val="0"/>
            <w:vAlign w:val="center"/>
          </w:tcPr>
          <w:p>
            <w:pPr>
              <w:spacing w:line="240" w:lineRule="exact"/>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399.14</w:t>
            </w:r>
          </w:p>
        </w:tc>
        <w:tc>
          <w:tcPr>
            <w:tcW w:w="1216" w:type="dxa"/>
            <w:noWrap w:val="0"/>
            <w:vAlign w:val="center"/>
          </w:tcPr>
          <w:p>
            <w:pPr>
              <w:spacing w:line="240" w:lineRule="exact"/>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429.80</w:t>
            </w:r>
          </w:p>
        </w:tc>
        <w:tc>
          <w:tcPr>
            <w:tcW w:w="1177" w:type="dxa"/>
            <w:noWrap w:val="0"/>
            <w:vAlign w:val="center"/>
          </w:tcPr>
          <w:p>
            <w:pPr>
              <w:spacing w:line="240" w:lineRule="exact"/>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382.09</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88.90</w:t>
            </w:r>
            <w:r>
              <w:rPr>
                <w:rFonts w:hint="default" w:ascii="Times New Roman" w:hAnsi="Times New Roman" w:eastAsia="仿宋_GB2312" w:cs="Times New Roman"/>
                <w:color w:val="auto"/>
                <w:sz w:val="18"/>
                <w:szCs w:val="18"/>
                <w:highlight w:val="none"/>
              </w:rPr>
              <w:t>%</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按收入性质分：</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按支出性质分：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其中：一般公共预算：</w:t>
            </w:r>
            <w:r>
              <w:rPr>
                <w:rFonts w:hint="default" w:ascii="Times New Roman" w:hAnsi="Times New Roman" w:eastAsia="仿宋_GB2312" w:cs="Times New Roman"/>
                <w:color w:val="auto"/>
                <w:sz w:val="18"/>
                <w:szCs w:val="18"/>
                <w:highlight w:val="none"/>
                <w:lang w:val="en-US" w:eastAsia="zh-CN"/>
              </w:rPr>
              <w:t>190.58</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其中：基本支出：</w:t>
            </w:r>
            <w:r>
              <w:rPr>
                <w:rFonts w:hint="default" w:ascii="Times New Roman" w:hAnsi="Times New Roman" w:eastAsia="仿宋_GB2312" w:cs="Times New Roman"/>
                <w:color w:val="auto"/>
                <w:sz w:val="18"/>
                <w:szCs w:val="18"/>
                <w:highlight w:val="none"/>
                <w:lang w:val="en-US" w:eastAsia="zh-CN"/>
              </w:rPr>
              <w:t>300.00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4357" w:type="dxa"/>
            <w:gridSpan w:val="4"/>
            <w:noWrap w:val="0"/>
            <w:vAlign w:val="center"/>
          </w:tcPr>
          <w:p>
            <w:pPr>
              <w:keepNext w:val="0"/>
              <w:keepLines w:val="0"/>
              <w:pageBreakBefore w:val="0"/>
              <w:wordWrap/>
              <w:overflowPunct/>
              <w:autoSpaceDE/>
              <w:autoSpaceDN/>
              <w:bidi w:val="0"/>
              <w:spacing w:line="240" w:lineRule="exact"/>
              <w:ind w:firstLine="540" w:firstLineChars="3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政府性基金拨款：</w:t>
            </w:r>
          </w:p>
        </w:tc>
        <w:tc>
          <w:tcPr>
            <w:tcW w:w="3995" w:type="dxa"/>
            <w:gridSpan w:val="4"/>
            <w:noWrap w:val="0"/>
            <w:vAlign w:val="center"/>
          </w:tcPr>
          <w:p>
            <w:pPr>
              <w:keepNext w:val="0"/>
              <w:keepLines w:val="0"/>
              <w:pageBreakBefore w:val="0"/>
              <w:wordWrap/>
              <w:overflowPunct/>
              <w:autoSpaceDE/>
              <w:autoSpaceDN/>
              <w:bidi w:val="0"/>
              <w:spacing w:line="240" w:lineRule="exact"/>
              <w:ind w:firstLine="540" w:firstLineChars="30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项目支出：</w:t>
            </w:r>
            <w:r>
              <w:rPr>
                <w:rFonts w:hint="default" w:ascii="Times New Roman" w:hAnsi="Times New Roman" w:eastAsia="仿宋_GB2312" w:cs="Times New Roman"/>
                <w:color w:val="auto"/>
                <w:sz w:val="18"/>
                <w:szCs w:val="18"/>
                <w:highlight w:val="none"/>
                <w:lang w:val="en-US" w:eastAsia="zh-CN"/>
              </w:rPr>
              <w:t>99.14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纳入专户管理的非税收入拨款：</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left"/>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4357" w:type="dxa"/>
            <w:gridSpan w:val="4"/>
            <w:noWrap w:val="0"/>
            <w:vAlign w:val="center"/>
          </w:tcPr>
          <w:p>
            <w:pPr>
              <w:keepNext w:val="0"/>
              <w:keepLines w:val="0"/>
              <w:pageBreakBefore w:val="0"/>
              <w:wordWrap/>
              <w:overflowPunct/>
              <w:autoSpaceDE/>
              <w:autoSpaceDN/>
              <w:bidi w:val="0"/>
              <w:spacing w:line="240" w:lineRule="exact"/>
              <w:ind w:firstLine="540" w:firstLineChars="3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其他资金：</w:t>
            </w:r>
            <w:r>
              <w:rPr>
                <w:rFonts w:hint="default" w:ascii="Times New Roman" w:hAnsi="Times New Roman" w:eastAsia="仿宋_GB2312" w:cs="Times New Roman"/>
                <w:color w:val="auto"/>
                <w:sz w:val="18"/>
                <w:szCs w:val="18"/>
                <w:highlight w:val="none"/>
              </w:rPr>
              <w:t>10</w:t>
            </w:r>
            <w:r>
              <w:rPr>
                <w:rFonts w:hint="default" w:ascii="Times New Roman" w:hAnsi="Times New Roman" w:eastAsia="仿宋_GB2312" w:cs="Times New Roman"/>
                <w:color w:val="auto"/>
                <w:sz w:val="18"/>
                <w:szCs w:val="18"/>
                <w:highlight w:val="none"/>
                <w:lang w:val="en-US" w:eastAsia="zh-CN"/>
              </w:rPr>
              <w:t>9.42</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年度总体目标</w:t>
            </w:r>
          </w:p>
        </w:tc>
        <w:tc>
          <w:tcPr>
            <w:tcW w:w="4357"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预期目标</w:t>
            </w:r>
          </w:p>
        </w:tc>
        <w:tc>
          <w:tcPr>
            <w:tcW w:w="3995"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4357" w:type="dxa"/>
            <w:gridSpan w:val="4"/>
            <w:noWrap w:val="0"/>
            <w:vAlign w:val="center"/>
          </w:tcPr>
          <w:p>
            <w:pPr>
              <w:spacing w:line="240" w:lineRule="exact"/>
              <w:ind w:left="0" w:leftChars="0" w:firstLine="0" w:firstLineChars="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1、</w:t>
            </w:r>
            <w:r>
              <w:rPr>
                <w:rFonts w:hint="default" w:ascii="Times New Roman" w:hAnsi="Times New Roman" w:eastAsia="仿宋_GB2312" w:cs="Times New Roman"/>
                <w:color w:val="auto"/>
                <w:sz w:val="18"/>
                <w:szCs w:val="18"/>
                <w:lang w:eastAsia="zh-CN"/>
              </w:rPr>
              <w:t>完成国家局交办的业务工作</w:t>
            </w:r>
          </w:p>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w:t>
            </w:r>
            <w:r>
              <w:rPr>
                <w:rFonts w:hint="default" w:ascii="Times New Roman" w:hAnsi="Times New Roman" w:eastAsia="仿宋_GB2312" w:cs="Times New Roman"/>
                <w:color w:val="auto"/>
                <w:sz w:val="18"/>
                <w:szCs w:val="18"/>
                <w:lang w:eastAsia="zh-CN"/>
              </w:rPr>
              <w:t>完成省局交办的其他事项</w:t>
            </w:r>
            <w:r>
              <w:rPr>
                <w:rFonts w:hint="default" w:ascii="Times New Roman" w:hAnsi="Times New Roman" w:eastAsia="仿宋_GB2312" w:cs="Times New Roman"/>
                <w:color w:val="auto"/>
                <w:sz w:val="18"/>
                <w:szCs w:val="18"/>
              </w:rPr>
              <w:t>　</w:t>
            </w:r>
          </w:p>
        </w:tc>
        <w:tc>
          <w:tcPr>
            <w:tcW w:w="3995" w:type="dxa"/>
            <w:gridSpan w:val="4"/>
            <w:noWrap w:val="0"/>
            <w:vAlign w:val="center"/>
          </w:tcPr>
          <w:p>
            <w:pPr>
              <w:spacing w:line="240" w:lineRule="exact"/>
              <w:ind w:left="0" w:leftChars="0" w:firstLine="0" w:firstLineChars="0"/>
              <w:jc w:val="both"/>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1、</w:t>
            </w:r>
            <w:r>
              <w:rPr>
                <w:rFonts w:hint="default" w:ascii="Times New Roman" w:hAnsi="Times New Roman" w:eastAsia="仿宋_GB2312" w:cs="Times New Roman"/>
                <w:color w:val="auto"/>
                <w:sz w:val="18"/>
                <w:szCs w:val="18"/>
                <w:lang w:eastAsia="zh-CN"/>
              </w:rPr>
              <w:t>完成国家局交办的业务工作</w:t>
            </w:r>
          </w:p>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w:t>
            </w:r>
            <w:r>
              <w:rPr>
                <w:rFonts w:hint="default" w:ascii="Times New Roman" w:hAnsi="Times New Roman" w:eastAsia="仿宋_GB2312" w:cs="Times New Roman"/>
                <w:color w:val="auto"/>
                <w:sz w:val="18"/>
                <w:szCs w:val="18"/>
                <w:lang w:eastAsia="zh-CN"/>
              </w:rPr>
              <w:t>完成省局交办的其他事项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2" w:hRule="atLeast"/>
          <w:jc w:val="center"/>
        </w:trPr>
        <w:tc>
          <w:tcPr>
            <w:tcW w:w="1002"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绩</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标</w:t>
            </w:r>
          </w:p>
        </w:tc>
        <w:tc>
          <w:tcPr>
            <w:tcW w:w="1003"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一级指标</w:t>
            </w: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二级指标</w:t>
            </w:r>
          </w:p>
        </w:tc>
        <w:tc>
          <w:tcPr>
            <w:tcW w:w="1178"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三级指标</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年度指标值</w:t>
            </w:r>
          </w:p>
        </w:tc>
        <w:tc>
          <w:tcPr>
            <w:tcW w:w="117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实际完成值</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分值</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自评</w:t>
            </w:r>
            <w:r>
              <w:rPr>
                <w:rFonts w:hint="default" w:ascii="Times New Roman" w:hAnsi="Times New Roman" w:eastAsia="仿宋_GB2312" w:cs="Times New Roman"/>
                <w:color w:val="auto"/>
                <w:sz w:val="18"/>
                <w:szCs w:val="18"/>
                <w:lang w:val="en-US" w:eastAsia="zh-CN"/>
              </w:rPr>
              <w:t xml:space="preserve">  </w:t>
            </w:r>
            <w:r>
              <w:rPr>
                <w:rFonts w:hint="default" w:ascii="Times New Roman" w:hAnsi="Times New Roman" w:eastAsia="仿宋_GB2312" w:cs="Times New Roman"/>
                <w:color w:val="auto"/>
                <w:sz w:val="18"/>
                <w:szCs w:val="18"/>
              </w:rPr>
              <w:t>得分</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产出指标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（50分）</w:t>
            </w:r>
          </w:p>
        </w:tc>
        <w:tc>
          <w:tcPr>
            <w:tcW w:w="960"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数量指标</w:t>
            </w:r>
          </w:p>
        </w:tc>
        <w:tc>
          <w:tcPr>
            <w:tcW w:w="1178" w:type="dxa"/>
            <w:noWrap w:val="0"/>
            <w:vAlign w:val="center"/>
          </w:tcPr>
          <w:p>
            <w:pPr>
              <w:spacing w:line="240" w:lineRule="auto"/>
              <w:ind w:left="0" w:leftChars="0" w:firstLine="0" w:firstLineChars="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rPr>
              <w:t>完成国家局分配的知识产权相关业务量</w:t>
            </w:r>
          </w:p>
        </w:tc>
        <w:tc>
          <w:tcPr>
            <w:tcW w:w="1216"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100件</w:t>
            </w:r>
          </w:p>
        </w:tc>
        <w:tc>
          <w:tcPr>
            <w:tcW w:w="117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8.86万件</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0</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0</w:t>
            </w: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78" w:type="dxa"/>
            <w:noWrap w:val="0"/>
            <w:vAlign w:val="center"/>
          </w:tcPr>
          <w:p>
            <w:pPr>
              <w:spacing w:line="240" w:lineRule="auto"/>
              <w:ind w:left="0" w:leftChars="0" w:firstLine="0" w:firstLineChars="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eastAsia="zh-CN"/>
              </w:rPr>
              <w:t>知识产权调研活动次数</w:t>
            </w:r>
          </w:p>
        </w:tc>
        <w:tc>
          <w:tcPr>
            <w:tcW w:w="1216"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w:t>
            </w:r>
            <w:r>
              <w:rPr>
                <w:rFonts w:hint="default" w:ascii="Times New Roman" w:hAnsi="Times New Roman" w:eastAsia="仿宋_GB2312" w:cs="Times New Roman"/>
                <w:color w:val="auto"/>
                <w:sz w:val="18"/>
                <w:szCs w:val="18"/>
              </w:rPr>
              <w:t>1次</w:t>
            </w:r>
          </w:p>
        </w:tc>
        <w:tc>
          <w:tcPr>
            <w:tcW w:w="117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1次</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1</w:t>
            </w:r>
            <w:r>
              <w:rPr>
                <w:rFonts w:hint="default" w:ascii="Times New Roman" w:hAnsi="Times New Roman" w:eastAsia="仿宋_GB2312" w:cs="Times New Roman"/>
                <w:color w:val="auto"/>
                <w:sz w:val="18"/>
                <w:szCs w:val="18"/>
              </w:rPr>
              <w:t>0</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1</w:t>
            </w:r>
            <w:r>
              <w:rPr>
                <w:rFonts w:hint="default" w:ascii="Times New Roman" w:hAnsi="Times New Roman" w:eastAsia="仿宋_GB2312" w:cs="Times New Roman"/>
                <w:color w:val="auto"/>
                <w:sz w:val="18"/>
                <w:szCs w:val="18"/>
              </w:rPr>
              <w:t>0</w:t>
            </w: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质量指标</w:t>
            </w:r>
          </w:p>
        </w:tc>
        <w:tc>
          <w:tcPr>
            <w:tcW w:w="1178" w:type="dxa"/>
            <w:noWrap w:val="0"/>
            <w:vAlign w:val="center"/>
          </w:tcPr>
          <w:p>
            <w:pPr>
              <w:keepNext w:val="0"/>
              <w:keepLines w:val="0"/>
              <w:pageBreakBefore w:val="0"/>
              <w:wordWrap/>
              <w:overflowPunct/>
              <w:autoSpaceDE/>
              <w:autoSpaceDN/>
              <w:bidi w:val="0"/>
              <w:spacing w:line="240" w:lineRule="auto"/>
              <w:ind w:firstLine="0" w:firstLineChars="0"/>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保证按国家局要求完成工作质量</w:t>
            </w:r>
          </w:p>
        </w:tc>
        <w:tc>
          <w:tcPr>
            <w:tcW w:w="1216"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100%</w:t>
            </w:r>
          </w:p>
        </w:tc>
        <w:tc>
          <w:tcPr>
            <w:tcW w:w="117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100%</w:t>
            </w:r>
          </w:p>
        </w:tc>
        <w:tc>
          <w:tcPr>
            <w:tcW w:w="66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811"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时效指标</w:t>
            </w:r>
          </w:p>
        </w:tc>
        <w:tc>
          <w:tcPr>
            <w:tcW w:w="1178" w:type="dxa"/>
            <w:noWrap w:val="0"/>
            <w:vAlign w:val="center"/>
          </w:tcPr>
          <w:p>
            <w:pPr>
              <w:spacing w:beforeLines="0" w:afterLines="0" w:line="240" w:lineRule="auto"/>
              <w:ind w:left="0" w:leftChars="0" w:firstLine="0" w:firstLineChars="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保证按国家局在规定时限完成业务</w:t>
            </w:r>
          </w:p>
        </w:tc>
        <w:tc>
          <w:tcPr>
            <w:tcW w:w="1216"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2024年底前</w:t>
            </w:r>
          </w:p>
        </w:tc>
        <w:tc>
          <w:tcPr>
            <w:tcW w:w="117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2024年底前完成</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5</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5</w:t>
            </w: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78" w:type="dxa"/>
            <w:noWrap w:val="0"/>
            <w:vAlign w:val="center"/>
          </w:tcPr>
          <w:p>
            <w:pPr>
              <w:spacing w:beforeLines="0" w:afterLines="0" w:line="240" w:lineRule="auto"/>
              <w:ind w:left="0" w:leftChars="0" w:firstLine="0" w:firstLineChars="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专利转化服务平台支撑项目完成时间</w:t>
            </w:r>
          </w:p>
        </w:tc>
        <w:tc>
          <w:tcPr>
            <w:tcW w:w="1216"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2024年底前</w:t>
            </w:r>
          </w:p>
        </w:tc>
        <w:tc>
          <w:tcPr>
            <w:tcW w:w="117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2024年底前完成</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5</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5</w:t>
            </w: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成本指标</w:t>
            </w:r>
          </w:p>
        </w:tc>
        <w:tc>
          <w:tcPr>
            <w:tcW w:w="1178"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知识产权业务培训成本440元/天/人</w:t>
            </w:r>
          </w:p>
        </w:tc>
        <w:tc>
          <w:tcPr>
            <w:tcW w:w="1216" w:type="dxa"/>
            <w:noWrap w:val="0"/>
            <w:vAlign w:val="center"/>
          </w:tcPr>
          <w:p>
            <w:pPr>
              <w:spacing w:line="240" w:lineRule="auto"/>
              <w:ind w:left="0" w:leftChars="0" w:firstLine="0" w:firstLineChars="0"/>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440元/天/人</w:t>
            </w:r>
          </w:p>
        </w:tc>
        <w:tc>
          <w:tcPr>
            <w:tcW w:w="1177" w:type="dxa"/>
            <w:noWrap w:val="0"/>
            <w:vAlign w:val="center"/>
          </w:tcPr>
          <w:p>
            <w:pPr>
              <w:spacing w:line="240" w:lineRule="auto"/>
              <w:ind w:left="0" w:leftChars="0" w:firstLine="0" w:firstLineChars="0"/>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440元/天/人</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0</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0</w:t>
            </w:r>
          </w:p>
        </w:tc>
        <w:tc>
          <w:tcPr>
            <w:tcW w:w="1340" w:type="dxa"/>
            <w:noWrap w:val="0"/>
            <w:vAlign w:val="center"/>
          </w:tcPr>
          <w:p>
            <w:pPr>
              <w:spacing w:line="240" w:lineRule="auto"/>
              <w:ind w:firstLine="360" w:firstLineChars="20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效益指标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（30分）</w:t>
            </w: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经济效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益指标</w:t>
            </w:r>
          </w:p>
        </w:tc>
        <w:tc>
          <w:tcPr>
            <w:tcW w:w="1178" w:type="dxa"/>
            <w:noWrap w:val="0"/>
            <w:vAlign w:val="center"/>
          </w:tcPr>
          <w:p>
            <w:pPr>
              <w:keepNext w:val="0"/>
              <w:keepLines w:val="0"/>
              <w:pageBreakBefore w:val="0"/>
              <w:wordWrap/>
              <w:overflowPunct/>
              <w:autoSpaceDE/>
              <w:autoSpaceDN/>
              <w:bidi w:val="0"/>
              <w:spacing w:line="240" w:lineRule="auto"/>
              <w:ind w:firstLine="0" w:firstLineChars="0"/>
              <w:jc w:val="left"/>
              <w:rPr>
                <w:rFonts w:hint="default" w:ascii="Times New Roman" w:hAnsi="Times New Roman" w:eastAsia="仿宋_GB2312" w:cs="Times New Roman"/>
                <w:color w:val="auto"/>
                <w:sz w:val="18"/>
                <w:szCs w:val="18"/>
              </w:rPr>
            </w:pPr>
          </w:p>
        </w:tc>
        <w:tc>
          <w:tcPr>
            <w:tcW w:w="1216"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117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66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811"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社会效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益指标</w:t>
            </w:r>
          </w:p>
        </w:tc>
        <w:tc>
          <w:tcPr>
            <w:tcW w:w="1178"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知识产权业务本地办理率逐步提升</w:t>
            </w:r>
          </w:p>
        </w:tc>
        <w:tc>
          <w:tcPr>
            <w:tcW w:w="1216"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逐步提升　</w:t>
            </w:r>
          </w:p>
        </w:tc>
        <w:tc>
          <w:tcPr>
            <w:tcW w:w="117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逐步提升</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20</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20</w:t>
            </w: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生态效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益指标</w:t>
            </w:r>
          </w:p>
        </w:tc>
        <w:tc>
          <w:tcPr>
            <w:tcW w:w="1178" w:type="dxa"/>
            <w:noWrap w:val="0"/>
            <w:vAlign w:val="center"/>
          </w:tcPr>
          <w:p>
            <w:pPr>
              <w:keepNext w:val="0"/>
              <w:keepLines w:val="0"/>
              <w:pageBreakBefore w:val="0"/>
              <w:wordWrap/>
              <w:overflowPunct/>
              <w:autoSpaceDE/>
              <w:autoSpaceDN/>
              <w:bidi w:val="0"/>
              <w:spacing w:line="240" w:lineRule="auto"/>
              <w:ind w:firstLine="0" w:firstLineChars="0"/>
              <w:jc w:val="left"/>
              <w:rPr>
                <w:rFonts w:hint="default" w:ascii="Times New Roman" w:hAnsi="Times New Roman" w:eastAsia="仿宋_GB2312" w:cs="Times New Roman"/>
                <w:color w:val="auto"/>
                <w:sz w:val="18"/>
                <w:szCs w:val="18"/>
              </w:rPr>
            </w:pPr>
          </w:p>
        </w:tc>
        <w:tc>
          <w:tcPr>
            <w:tcW w:w="1216"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117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667"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811"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可持续影响指标</w:t>
            </w:r>
          </w:p>
        </w:tc>
        <w:tc>
          <w:tcPr>
            <w:tcW w:w="1178"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知识产权业务线上办理率逐步提升</w:t>
            </w:r>
          </w:p>
        </w:tc>
        <w:tc>
          <w:tcPr>
            <w:tcW w:w="1216"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逐步提升　</w:t>
            </w:r>
          </w:p>
        </w:tc>
        <w:tc>
          <w:tcPr>
            <w:tcW w:w="1177" w:type="dxa"/>
            <w:noWrap w:val="0"/>
            <w:vAlign w:val="center"/>
          </w:tcPr>
          <w:p>
            <w:pPr>
              <w:spacing w:line="240" w:lineRule="auto"/>
              <w:ind w:left="0" w:leftChars="0" w:firstLine="0" w:firstLineChars="0"/>
              <w:jc w:val="both"/>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逐步提升　</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w:t>
            </w: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 w:hRule="atLeast"/>
          <w:jc w:val="center"/>
        </w:trPr>
        <w:tc>
          <w:tcPr>
            <w:tcW w:w="1002"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03"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满意度</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指标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（10分）</w:t>
            </w:r>
          </w:p>
        </w:tc>
        <w:tc>
          <w:tcPr>
            <w:tcW w:w="96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服务对象满意度指标</w:t>
            </w:r>
          </w:p>
        </w:tc>
        <w:tc>
          <w:tcPr>
            <w:tcW w:w="1178"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知识产权服务对象满意度</w:t>
            </w:r>
          </w:p>
        </w:tc>
        <w:tc>
          <w:tcPr>
            <w:tcW w:w="1216"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≧90%</w:t>
            </w:r>
          </w:p>
        </w:tc>
        <w:tc>
          <w:tcPr>
            <w:tcW w:w="117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　95%</w:t>
            </w:r>
          </w:p>
        </w:tc>
        <w:tc>
          <w:tcPr>
            <w:tcW w:w="667"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w:t>
            </w:r>
          </w:p>
        </w:tc>
        <w:tc>
          <w:tcPr>
            <w:tcW w:w="811" w:type="dxa"/>
            <w:noWrap w:val="0"/>
            <w:vAlign w:val="center"/>
          </w:tcPr>
          <w:p>
            <w:pPr>
              <w:spacing w:line="240" w:lineRule="auto"/>
              <w:ind w:left="0" w:leftChars="0"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w:t>
            </w:r>
          </w:p>
        </w:tc>
        <w:tc>
          <w:tcPr>
            <w:tcW w:w="1340" w:type="dxa"/>
            <w:noWrap w:val="0"/>
            <w:vAlign w:val="center"/>
          </w:tcPr>
          <w:p>
            <w:pPr>
              <w:keepNext w:val="0"/>
              <w:keepLines w:val="0"/>
              <w:pageBreakBefore w:val="0"/>
              <w:wordWrap/>
              <w:overflowPunct/>
              <w:autoSpaceDE/>
              <w:autoSpaceDN/>
              <w:bidi w:val="0"/>
              <w:spacing w:line="240" w:lineRule="auto"/>
              <w:ind w:firstLine="0" w:firstLineChars="0"/>
              <w:jc w:val="center"/>
              <w:rPr>
                <w:rFonts w:hint="default" w:ascii="Times New Roman" w:hAnsi="Times New Roman" w:eastAsia="仿宋_GB2312"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6536"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总分</w:t>
            </w:r>
          </w:p>
        </w:tc>
        <w:tc>
          <w:tcPr>
            <w:tcW w:w="667"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100</w:t>
            </w:r>
          </w:p>
        </w:tc>
        <w:tc>
          <w:tcPr>
            <w:tcW w:w="811"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sz w:val="18"/>
                <w:szCs w:val="18"/>
              </w:rPr>
              <w:t>9</w:t>
            </w:r>
            <w:r>
              <w:rPr>
                <w:rFonts w:hint="default" w:ascii="Times New Roman" w:hAnsi="Times New Roman" w:eastAsia="仿宋_GB2312" w:cs="Times New Roman"/>
                <w:sz w:val="18"/>
                <w:szCs w:val="18"/>
                <w:lang w:val="en-US" w:eastAsia="zh-CN"/>
              </w:rPr>
              <w:t>8</w:t>
            </w:r>
          </w:p>
        </w:tc>
        <w:tc>
          <w:tcPr>
            <w:tcW w:w="1340" w:type="dxa"/>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bl>
    <w:p>
      <w:pPr>
        <w:keepNext w:val="0"/>
        <w:keepLines w:val="0"/>
        <w:pageBreakBefore w:val="0"/>
        <w:kinsoku/>
        <w:wordWrap/>
        <w:overflowPunct/>
        <w:topLinePunct/>
        <w:autoSpaceDE/>
        <w:autoSpaceDN/>
        <w:bidi w:val="0"/>
        <w:spacing w:line="400" w:lineRule="exact"/>
        <w:ind w:firstLine="0" w:firstLineChars="0"/>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填表人：</w:t>
      </w:r>
      <w:r>
        <w:rPr>
          <w:rFonts w:hint="default" w:ascii="Times New Roman" w:hAnsi="Times New Roman" w:eastAsia="仿宋_GB2312" w:cs="Times New Roman"/>
          <w:color w:val="auto"/>
          <w:sz w:val="21"/>
          <w:szCs w:val="21"/>
          <w:lang w:val="en-US" w:eastAsia="zh-CN"/>
        </w:rPr>
        <w:t>冯明哲</w:t>
      </w:r>
      <w:r>
        <w:rPr>
          <w:rFonts w:hint="default" w:ascii="Times New Roman" w:hAnsi="Times New Roman" w:eastAsia="仿宋_GB2312" w:cs="Times New Roman"/>
          <w:color w:val="auto"/>
          <w:sz w:val="21"/>
          <w:szCs w:val="21"/>
        </w:rPr>
        <w:t xml:space="preserve">  填报日期：</w:t>
      </w:r>
      <w:r>
        <w:rPr>
          <w:rFonts w:hint="default" w:ascii="Times New Roman" w:hAnsi="Times New Roman" w:eastAsia="仿宋_GB2312" w:cs="Times New Roman"/>
          <w:sz w:val="21"/>
          <w:szCs w:val="21"/>
        </w:rPr>
        <w:t>202</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31</w:t>
      </w:r>
      <w:r>
        <w:rPr>
          <w:rFonts w:hint="default" w:ascii="Times New Roman" w:hAnsi="Times New Roman" w:eastAsia="仿宋_GB2312" w:cs="Times New Roman"/>
          <w:color w:val="auto"/>
          <w:sz w:val="21"/>
          <w:szCs w:val="21"/>
        </w:rPr>
        <w:t xml:space="preserve"> 联系电话：</w:t>
      </w:r>
      <w:r>
        <w:rPr>
          <w:rFonts w:hint="default" w:ascii="Times New Roman" w:hAnsi="Times New Roman" w:eastAsia="仿宋_GB2312" w:cs="Times New Roman"/>
          <w:sz w:val="21"/>
          <w:szCs w:val="21"/>
          <w:lang w:val="en-US" w:eastAsia="zh-CN"/>
        </w:rPr>
        <w:t xml:space="preserve">13467575936 </w:t>
      </w:r>
      <w:r>
        <w:rPr>
          <w:rFonts w:hint="default" w:ascii="Times New Roman" w:hAnsi="Times New Roman" w:eastAsia="仿宋_GB2312" w:cs="Times New Roman"/>
          <w:color w:val="auto"/>
          <w:sz w:val="21"/>
          <w:szCs w:val="21"/>
        </w:rPr>
        <w:t xml:space="preserve"> 单位负责人签字：</w:t>
      </w:r>
    </w:p>
    <w:p>
      <w:pPr>
        <w:keepNext w:val="0"/>
        <w:keepLines w:val="0"/>
        <w:pageBreakBefore w:val="0"/>
        <w:wordWrap/>
        <w:overflowPunct/>
        <w:autoSpaceDE/>
        <w:autoSpaceDN/>
        <w:bidi w:val="0"/>
        <w:spacing w:line="600" w:lineRule="exact"/>
        <w:ind w:firstLine="0" w:firstLineChars="0"/>
        <w:rPr>
          <w:rFonts w:hint="eastAsia" w:ascii="Times New Roman" w:hAnsi="Times New Roman" w:eastAsia="黑体" w:cs="Times New Roman"/>
          <w:color w:val="auto"/>
          <w:sz w:val="32"/>
          <w:szCs w:val="32"/>
          <w:lang w:val="en-US" w:eastAsia="zh-CN"/>
        </w:rPr>
      </w:pPr>
      <w:r>
        <w:rPr>
          <w:rFonts w:ascii="Times New Roman" w:hAnsi="Times New Roman" w:eastAsia="仿宋_GB2312" w:cs="Times New Roman"/>
          <w:color w:val="auto"/>
          <w:sz w:val="22"/>
          <w:szCs w:val="2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tbl>
      <w:tblPr>
        <w:tblStyle w:val="11"/>
        <w:tblpPr w:leftFromText="180" w:rightFromText="180" w:vertAnchor="text" w:horzAnchor="page" w:tblpX="1278" w:tblpY="600"/>
        <w:tblOverlap w:val="never"/>
        <w:tblW w:w="93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025"/>
        <w:gridCol w:w="908"/>
        <w:gridCol w:w="1181"/>
        <w:gridCol w:w="1183"/>
        <w:gridCol w:w="1216"/>
        <w:gridCol w:w="640"/>
        <w:gridCol w:w="830"/>
        <w:gridCol w:w="1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2957" w:type="dxa"/>
            <w:gridSpan w:val="3"/>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项目支出名称</w:t>
            </w:r>
          </w:p>
        </w:tc>
        <w:tc>
          <w:tcPr>
            <w:tcW w:w="6397"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sz w:val="18"/>
                <w:szCs w:val="18"/>
                <w:highlight w:val="none"/>
              </w:rPr>
              <w:t>2024年知识产权重点工作任务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主管部门</w:t>
            </w:r>
          </w:p>
        </w:tc>
        <w:tc>
          <w:tcPr>
            <w:tcW w:w="4297"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sz w:val="18"/>
                <w:szCs w:val="18"/>
              </w:rPr>
              <w:t>湖南省市场监督管理局</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实施单位</w:t>
            </w:r>
          </w:p>
        </w:tc>
        <w:tc>
          <w:tcPr>
            <w:tcW w:w="2817" w:type="dxa"/>
            <w:gridSpan w:val="3"/>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sz w:val="18"/>
                <w:szCs w:val="18"/>
              </w:rPr>
              <w:t>国家知识产权局专利局长沙代办处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项目资金</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（万元）</w:t>
            </w: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年初预算数</w:t>
            </w:r>
          </w:p>
        </w:tc>
        <w:tc>
          <w:tcPr>
            <w:tcW w:w="118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全年预算数</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全年执行数</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分值</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执行率</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年度资金总额</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40</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40</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1.1</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2.75%</w:t>
            </w:r>
          </w:p>
        </w:tc>
        <w:tc>
          <w:tcPr>
            <w:tcW w:w="1347"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其中：当年财政拨款</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40</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40</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1.1</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2.75%</w:t>
            </w:r>
          </w:p>
        </w:tc>
        <w:tc>
          <w:tcPr>
            <w:tcW w:w="1347"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上年结转资金</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347"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933" w:type="dxa"/>
            <w:gridSpan w:val="2"/>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其他资金</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347"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年度总体目标</w:t>
            </w:r>
          </w:p>
        </w:tc>
        <w:tc>
          <w:tcPr>
            <w:tcW w:w="4297"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预期目标</w:t>
            </w:r>
          </w:p>
        </w:tc>
        <w:tc>
          <w:tcPr>
            <w:tcW w:w="4033" w:type="dxa"/>
            <w:gridSpan w:val="4"/>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4297" w:type="dxa"/>
            <w:gridSpan w:val="4"/>
            <w:noWrap w:val="0"/>
            <w:vAlign w:val="center"/>
          </w:tcPr>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1、向国家知识产权局商标局申请商标服务端口，开通商标服务权限。</w:t>
            </w:r>
          </w:p>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2、组织开展从业人员职称现状摸底调查</w:t>
            </w:r>
          </w:p>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3、购置相关设备，升级网络系统。</w:t>
            </w:r>
          </w:p>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4033" w:type="dxa"/>
            <w:gridSpan w:val="4"/>
            <w:noWrap w:val="0"/>
            <w:vAlign w:val="center"/>
          </w:tcPr>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1、已完成向国家知识产权局商标局申请商标服务端口，开通商标服务权限工作。</w:t>
            </w:r>
          </w:p>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2、已完成组织开展从业人员职称现状摸底调查</w:t>
            </w:r>
          </w:p>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3、因各项流程和手续的办理，其他工作未能按时完成，还在开展过程中。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绩</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效</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指</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标</w:t>
            </w:r>
          </w:p>
        </w:tc>
        <w:tc>
          <w:tcPr>
            <w:tcW w:w="1025"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一级指标</w:t>
            </w: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二级指标</w:t>
            </w:r>
          </w:p>
        </w:tc>
        <w:tc>
          <w:tcPr>
            <w:tcW w:w="1181"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三级指标</w:t>
            </w:r>
          </w:p>
        </w:tc>
        <w:tc>
          <w:tcPr>
            <w:tcW w:w="1183"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年度指标值</w:t>
            </w:r>
          </w:p>
        </w:tc>
        <w:tc>
          <w:tcPr>
            <w:tcW w:w="1216"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实际完成值</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分值</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自评</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得分</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产出指标</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（50分）</w:t>
            </w:r>
          </w:p>
        </w:tc>
        <w:tc>
          <w:tcPr>
            <w:tcW w:w="908"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数量指标</w:t>
            </w:r>
          </w:p>
        </w:tc>
        <w:tc>
          <w:tcPr>
            <w:tcW w:w="1181" w:type="dxa"/>
            <w:noWrap w:val="0"/>
            <w:vAlign w:val="center"/>
          </w:tcPr>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申请商标服务端口，开通商标服务权限</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申请端口及权限开通</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已完成</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1347" w:type="dxa"/>
            <w:vMerge w:val="restart"/>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2024年知识产权重点工作任务</w:t>
            </w:r>
            <w:r>
              <w:rPr>
                <w:rFonts w:hint="eastAsia" w:ascii="仿宋_GB2312" w:hAnsi="仿宋_GB2312" w:eastAsia="仿宋_GB2312" w:cs="仿宋_GB2312"/>
                <w:color w:val="auto"/>
                <w:sz w:val="18"/>
                <w:szCs w:val="18"/>
                <w:lang w:val="en-US" w:eastAsia="zh-CN"/>
              </w:rPr>
              <w:t>资金于2024年8月19日下达，因各项流程和办理各项手续的原因导致项目还在开展过程中。目前项目支出预算执行率为2.75%。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181" w:type="dxa"/>
            <w:noWrap w:val="0"/>
            <w:vAlign w:val="center"/>
          </w:tcPr>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开展从业人员职称问卷调查</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≥500份</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573</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1347" w:type="dxa"/>
            <w:vMerge w:val="continue"/>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质量指标</w:t>
            </w:r>
          </w:p>
        </w:tc>
        <w:tc>
          <w:tcPr>
            <w:tcW w:w="1181" w:type="dxa"/>
            <w:noWrap w:val="0"/>
            <w:vAlign w:val="center"/>
          </w:tcPr>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培训工作人员完成率</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100%</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0%</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0</w:t>
            </w:r>
          </w:p>
        </w:tc>
        <w:tc>
          <w:tcPr>
            <w:tcW w:w="1347" w:type="dxa"/>
            <w:vMerge w:val="continue"/>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181" w:type="dxa"/>
            <w:noWrap w:val="0"/>
            <w:vAlign w:val="center"/>
          </w:tcPr>
          <w:p>
            <w:pPr>
              <w:widowControl/>
              <w:kinsoku w:val="0"/>
              <w:autoSpaceDE w:val="0"/>
              <w:autoSpaceDN w:val="0"/>
              <w:adjustRightInd w:val="0"/>
              <w:snapToGrid w:val="0"/>
              <w:spacing w:line="220" w:lineRule="exact"/>
              <w:ind w:firstLine="0" w:firstLineChars="0"/>
              <w:jc w:val="both"/>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职称评审通过率</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≤55%</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53.57%</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w:t>
            </w:r>
          </w:p>
        </w:tc>
        <w:tc>
          <w:tcPr>
            <w:tcW w:w="1347" w:type="dxa"/>
            <w:vMerge w:val="continue"/>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时效指标</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项目完成时间</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2024年底前</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0</w:t>
            </w:r>
          </w:p>
        </w:tc>
        <w:tc>
          <w:tcPr>
            <w:tcW w:w="1347" w:type="dxa"/>
            <w:vMerge w:val="continue"/>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发布评审通知完成时间</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2024年底前</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2024年底前</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5</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zh-CN"/>
              </w:rPr>
              <w:t>5</w:t>
            </w:r>
          </w:p>
        </w:tc>
        <w:tc>
          <w:tcPr>
            <w:tcW w:w="1347" w:type="dxa"/>
            <w:vMerge w:val="continue"/>
            <w:noWrap w:val="0"/>
            <w:vAlign w:val="center"/>
          </w:tcPr>
          <w:p>
            <w:pPr>
              <w:spacing w:line="240" w:lineRule="auto"/>
              <w:ind w:firstLine="360" w:firstLineChars="20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成本指标</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z w:val="18"/>
                <w:szCs w:val="18"/>
                <w:highlight w:val="none"/>
                <w:lang w:val="en-US" w:eastAsia="zh-CN"/>
              </w:rPr>
              <w:t>项目总成本</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≤40万元</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1.1</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zh-CN"/>
              </w:rPr>
              <w:t>0</w:t>
            </w:r>
          </w:p>
        </w:tc>
        <w:tc>
          <w:tcPr>
            <w:tcW w:w="1347" w:type="dxa"/>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效益指标</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（30分）</w:t>
            </w: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经济效</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益指标</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347" w:type="dxa"/>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3"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vMerge w:val="restart"/>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社会效</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益指标</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商标业务办理率</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逐步提升　</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zh-CN"/>
              </w:rPr>
              <w:t>0</w:t>
            </w:r>
          </w:p>
        </w:tc>
        <w:tc>
          <w:tcPr>
            <w:tcW w:w="1347" w:type="dxa"/>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职称评审专业性、针对性、适应性</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逐步提升</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zh-CN" w:bidi="ar-SA"/>
              </w:rPr>
              <w:t>10</w:t>
            </w:r>
          </w:p>
        </w:tc>
        <w:tc>
          <w:tcPr>
            <w:tcW w:w="1347" w:type="dxa"/>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生态效</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益指标</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p>
        </w:tc>
        <w:tc>
          <w:tcPr>
            <w:tcW w:w="1347" w:type="dxa"/>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可持续影响指标</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持续保障业务稳步运行</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长期</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zh-CN" w:bidi="ar-SA"/>
              </w:rPr>
              <w:t>10</w:t>
            </w:r>
          </w:p>
        </w:tc>
        <w:tc>
          <w:tcPr>
            <w:tcW w:w="1347" w:type="dxa"/>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1024" w:type="dxa"/>
            <w:vMerge w:val="continue"/>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c>
          <w:tcPr>
            <w:tcW w:w="1025"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满意度</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指标</w:t>
            </w:r>
          </w:p>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（10分）</w:t>
            </w:r>
          </w:p>
        </w:tc>
        <w:tc>
          <w:tcPr>
            <w:tcW w:w="908"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服务对象满意度指标</w:t>
            </w:r>
          </w:p>
        </w:tc>
        <w:tc>
          <w:tcPr>
            <w:tcW w:w="1181"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知识产权服务对象满意度</w:t>
            </w:r>
          </w:p>
        </w:tc>
        <w:tc>
          <w:tcPr>
            <w:tcW w:w="1183"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≧90%</w:t>
            </w:r>
          </w:p>
        </w:tc>
        <w:tc>
          <w:tcPr>
            <w:tcW w:w="1216"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95%</w:t>
            </w:r>
          </w:p>
        </w:tc>
        <w:tc>
          <w:tcPr>
            <w:tcW w:w="64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rPr>
            </w:pPr>
            <w:r>
              <w:rPr>
                <w:rFonts w:hint="eastAsia" w:ascii="仿宋_GB2312" w:hAnsi="仿宋_GB2312" w:eastAsia="仿宋_GB2312" w:cs="仿宋_GB2312"/>
                <w:snapToGrid w:val="0"/>
                <w:color w:val="auto"/>
                <w:kern w:val="0"/>
                <w:sz w:val="18"/>
                <w:szCs w:val="18"/>
                <w:highlight w:val="none"/>
                <w:lang w:val="en-US" w:eastAsia="zh-CN"/>
              </w:rPr>
              <w:t>10</w:t>
            </w:r>
          </w:p>
        </w:tc>
        <w:tc>
          <w:tcPr>
            <w:tcW w:w="830" w:type="dxa"/>
            <w:noWrap w:val="0"/>
            <w:vAlign w:val="center"/>
          </w:tcPr>
          <w:p>
            <w:pPr>
              <w:widowControl/>
              <w:kinsoku w:val="0"/>
              <w:autoSpaceDE w:val="0"/>
              <w:autoSpaceDN w:val="0"/>
              <w:adjustRightInd w:val="0"/>
              <w:snapToGrid w:val="0"/>
              <w:spacing w:line="220" w:lineRule="exact"/>
              <w:ind w:firstLine="0" w:firstLineChars="0"/>
              <w:jc w:val="center"/>
              <w:textAlignment w:val="baseline"/>
              <w:rPr>
                <w:rFonts w:hint="eastAsia" w:ascii="仿宋_GB2312" w:hAnsi="仿宋_GB2312" w:eastAsia="仿宋_GB2312" w:cs="仿宋_GB2312"/>
                <w:snapToGrid w:val="0"/>
                <w:color w:val="auto"/>
                <w:kern w:val="0"/>
                <w:sz w:val="18"/>
                <w:szCs w:val="18"/>
                <w:highlight w:val="none"/>
                <w:lang w:val="en-US" w:eastAsia="zh-CN" w:bidi="ar-SA"/>
              </w:rPr>
            </w:pPr>
            <w:r>
              <w:rPr>
                <w:rFonts w:hint="eastAsia" w:ascii="仿宋_GB2312" w:hAnsi="仿宋_GB2312" w:eastAsia="仿宋_GB2312" w:cs="仿宋_GB2312"/>
                <w:snapToGrid w:val="0"/>
                <w:color w:val="auto"/>
                <w:kern w:val="0"/>
                <w:sz w:val="18"/>
                <w:szCs w:val="18"/>
                <w:highlight w:val="none"/>
                <w:lang w:val="en-US" w:eastAsia="zh-CN" w:bidi="ar-SA"/>
              </w:rPr>
              <w:t>10</w:t>
            </w:r>
          </w:p>
        </w:tc>
        <w:tc>
          <w:tcPr>
            <w:tcW w:w="1347" w:type="dxa"/>
            <w:noWrap w:val="0"/>
            <w:vAlign w:val="center"/>
          </w:tcPr>
          <w:p>
            <w:pPr>
              <w:keepNext w:val="0"/>
              <w:keepLines w:val="0"/>
              <w:pageBreakBefore w:val="0"/>
              <w:wordWrap/>
              <w:overflowPunct/>
              <w:autoSpaceDE/>
              <w:autoSpaceDN/>
              <w:bidi w:val="0"/>
              <w:spacing w:line="240" w:lineRule="auto"/>
              <w:ind w:firstLine="0" w:firstLineChars="0"/>
              <w:jc w:val="center"/>
              <w:rPr>
                <w:rFonts w:hint="eastAsia" w:ascii="仿宋_GB2312" w:hAnsi="仿宋_GB2312" w:eastAsia="仿宋_GB2312" w:cs="仿宋_GB2312"/>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6537" w:type="dxa"/>
            <w:gridSpan w:val="6"/>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总分</w:t>
            </w:r>
          </w:p>
        </w:tc>
        <w:tc>
          <w:tcPr>
            <w:tcW w:w="64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100</w:t>
            </w:r>
          </w:p>
        </w:tc>
        <w:tc>
          <w:tcPr>
            <w:tcW w:w="830"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60</w:t>
            </w:r>
          </w:p>
        </w:tc>
        <w:tc>
          <w:tcPr>
            <w:tcW w:w="1347" w:type="dxa"/>
            <w:noWrap w:val="0"/>
            <w:vAlign w:val="center"/>
          </w:tcPr>
          <w:p>
            <w:pPr>
              <w:keepNext w:val="0"/>
              <w:keepLines w:val="0"/>
              <w:pageBreakBefore w:val="0"/>
              <w:wordWrap/>
              <w:overflowPunct/>
              <w:autoSpaceDE/>
              <w:autoSpaceDN/>
              <w:bidi w:val="0"/>
              <w:spacing w:line="240" w:lineRule="exact"/>
              <w:ind w:firstLine="0" w:firstLineChars="0"/>
              <w:jc w:val="center"/>
              <w:rPr>
                <w:rFonts w:hint="eastAsia" w:ascii="仿宋_GB2312" w:hAnsi="仿宋_GB2312" w:eastAsia="仿宋_GB2312" w:cs="仿宋_GB2312"/>
                <w:color w:val="auto"/>
                <w:sz w:val="18"/>
                <w:szCs w:val="18"/>
              </w:rPr>
            </w:pP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6"/>
          <w:szCs w:val="36"/>
          <w:highlight w:val="none"/>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年度项目支出绩效</w:t>
      </w:r>
      <w:r>
        <w:rPr>
          <w:rFonts w:hint="eastAsia" w:ascii="Times New Roman" w:hAnsi="Times New Roman" w:eastAsia="仿宋_GB2312" w:cs="Times New Roman"/>
          <w:color w:val="auto"/>
          <w:sz w:val="36"/>
          <w:szCs w:val="36"/>
          <w:highlight w:val="none"/>
        </w:rPr>
        <w:t>自评表</w:t>
      </w:r>
    </w:p>
    <w:p>
      <w:pPr>
        <w:keepNext w:val="0"/>
        <w:keepLines w:val="0"/>
        <w:pageBreakBefore w:val="0"/>
        <w:kinsoku/>
        <w:wordWrap/>
        <w:overflowPunct/>
        <w:topLinePunct/>
        <w:autoSpaceDE/>
        <w:autoSpaceDN/>
        <w:bidi w:val="0"/>
        <w:spacing w:line="400" w:lineRule="exact"/>
        <w:ind w:firstLine="0" w:firstLineChars="0"/>
        <w:jc w:val="both"/>
        <w:rPr>
          <w:rFonts w:hint="default" w:ascii="Times New Roman" w:hAnsi="Times New Roman" w:eastAsia="仿宋_GB2312" w:cs="Times New Roman"/>
          <w:color w:val="auto"/>
          <w:sz w:val="21"/>
          <w:szCs w:val="21"/>
        </w:rPr>
        <w:sectPr>
          <w:headerReference r:id="rId7" w:type="default"/>
          <w:footerReference r:id="rId8" w:type="default"/>
          <w:pgSz w:w="11905" w:h="16840"/>
          <w:pgMar w:top="737" w:right="1474" w:bottom="737" w:left="1474" w:header="850" w:footer="1134" w:gutter="0"/>
          <w:pgNumType w:fmt="decimal"/>
          <w:cols w:space="720" w:num="1"/>
        </w:sectPr>
      </w:pPr>
      <w:r>
        <w:rPr>
          <w:rFonts w:hint="default" w:ascii="Times New Roman" w:hAnsi="Times New Roman" w:eastAsia="仿宋_GB2312" w:cs="Times New Roman"/>
          <w:color w:val="auto"/>
          <w:sz w:val="21"/>
          <w:szCs w:val="21"/>
        </w:rPr>
        <w:t xml:space="preserve">填表人：冯明哲  填报日期： </w:t>
      </w:r>
      <w:r>
        <w:rPr>
          <w:rFonts w:hint="default" w:ascii="Times New Roman" w:hAnsi="Times New Roman" w:eastAsia="仿宋_GB2312" w:cs="Times New Roman"/>
          <w:sz w:val="21"/>
          <w:szCs w:val="21"/>
        </w:rPr>
        <w:t>202</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31</w:t>
      </w:r>
      <w:r>
        <w:rPr>
          <w:rFonts w:hint="default" w:ascii="Times New Roman" w:hAnsi="Times New Roman" w:eastAsia="仿宋_GB2312" w:cs="Times New Roman"/>
          <w:color w:val="auto"/>
          <w:sz w:val="21"/>
          <w:szCs w:val="21"/>
        </w:rPr>
        <w:t xml:space="preserve">  联系电话：</w:t>
      </w:r>
      <w:r>
        <w:rPr>
          <w:rFonts w:hint="default" w:ascii="Times New Roman" w:hAnsi="Times New Roman" w:eastAsia="仿宋_GB2312" w:cs="Times New Roman"/>
          <w:sz w:val="21"/>
          <w:szCs w:val="21"/>
        </w:rPr>
        <w:t xml:space="preserve">13467575936 </w:t>
      </w:r>
      <w:r>
        <w:rPr>
          <w:rFonts w:hint="default" w:ascii="Times New Roman" w:hAnsi="Times New Roman" w:eastAsia="仿宋_GB2312" w:cs="Times New Roman"/>
          <w:color w:val="auto"/>
          <w:sz w:val="21"/>
          <w:szCs w:val="21"/>
        </w:rPr>
        <w:t>单位负责人签字：</w:t>
      </w:r>
    </w:p>
    <w:p>
      <w:pPr>
        <w:keepNext w:val="0"/>
        <w:keepLines w:val="0"/>
        <w:pageBreakBefore w:val="0"/>
        <w:wordWrap/>
        <w:overflowPunct/>
        <w:autoSpaceDE/>
        <w:autoSpaceDN/>
        <w:bidi w:val="0"/>
        <w:spacing w:line="60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40"/>
          <w:szCs w:val="40"/>
        </w:rPr>
      </w:pPr>
      <w:r>
        <w:rPr>
          <w:rFonts w:hint="eastAsia" w:cs="Times New Roman"/>
          <w:color w:val="auto"/>
          <w:sz w:val="36"/>
          <w:szCs w:val="36"/>
          <w:lang w:eastAsia="zh-CN"/>
        </w:rPr>
        <w:t>2024</w:t>
      </w:r>
      <w:r>
        <w:rPr>
          <w:rFonts w:hint="eastAsia" w:ascii="Times New Roman" w:hAnsi="Times New Roman" w:eastAsia="仿宋_GB2312" w:cs="Times New Roman"/>
          <w:color w:val="auto"/>
          <w:sz w:val="36"/>
          <w:szCs w:val="36"/>
        </w:rPr>
        <w:t>年度项目支出绩效自评表（运行维护专项）</w:t>
      </w:r>
    </w:p>
    <w:tbl>
      <w:tblPr>
        <w:tblStyle w:val="11"/>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025"/>
        <w:gridCol w:w="908"/>
        <w:gridCol w:w="1182"/>
        <w:gridCol w:w="1181"/>
        <w:gridCol w:w="1216"/>
        <w:gridCol w:w="640"/>
        <w:gridCol w:w="830"/>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3105" w:type="dxa"/>
            <w:gridSpan w:val="3"/>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项目支出名称</w:t>
            </w:r>
          </w:p>
        </w:tc>
        <w:tc>
          <w:tcPr>
            <w:tcW w:w="6714" w:type="dxa"/>
            <w:gridSpan w:val="6"/>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7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主管部门</w:t>
            </w:r>
          </w:p>
        </w:tc>
        <w:tc>
          <w:tcPr>
            <w:tcW w:w="4510" w:type="dxa"/>
            <w:gridSpan w:val="4"/>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实施单位</w:t>
            </w:r>
          </w:p>
        </w:tc>
        <w:tc>
          <w:tcPr>
            <w:tcW w:w="2956" w:type="dxa"/>
            <w:gridSpan w:val="3"/>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76"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rPr>
              <w:t>项目资金</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（万元）</w:t>
            </w:r>
          </w:p>
        </w:tc>
        <w:tc>
          <w:tcPr>
            <w:tcW w:w="2029" w:type="dxa"/>
            <w:gridSpan w:val="2"/>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年初预算数</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全年预算数</w:t>
            </w: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全年执行数</w:t>
            </w: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分值</w:t>
            </w: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执行率</w:t>
            </w: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自评得分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2029" w:type="dxa"/>
            <w:gridSpan w:val="2"/>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年度资金总额</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10</w:t>
            </w: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2029" w:type="dxa"/>
            <w:gridSpan w:val="2"/>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其中：当年财政拨款</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2029" w:type="dxa"/>
            <w:gridSpan w:val="2"/>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上年结转资金</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2029" w:type="dxa"/>
            <w:gridSpan w:val="2"/>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其他资金</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1076"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年度总体目标</w:t>
            </w:r>
          </w:p>
        </w:tc>
        <w:tc>
          <w:tcPr>
            <w:tcW w:w="4510" w:type="dxa"/>
            <w:gridSpan w:val="4"/>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预期目标</w:t>
            </w:r>
          </w:p>
        </w:tc>
        <w:tc>
          <w:tcPr>
            <w:tcW w:w="4233" w:type="dxa"/>
            <w:gridSpan w:val="4"/>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实际完成情况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4510" w:type="dxa"/>
            <w:gridSpan w:val="4"/>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4233" w:type="dxa"/>
            <w:gridSpan w:val="4"/>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7" w:hRule="atLeast"/>
          <w:jc w:val="center"/>
        </w:trPr>
        <w:tc>
          <w:tcPr>
            <w:tcW w:w="1076"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绩</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效</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指</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标</w:t>
            </w:r>
          </w:p>
        </w:tc>
        <w:tc>
          <w:tcPr>
            <w:tcW w:w="107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一级指标</w:t>
            </w:r>
          </w:p>
        </w:tc>
        <w:tc>
          <w:tcPr>
            <w:tcW w:w="953"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二级指标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三级指标</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年度</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指标值</w:t>
            </w: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实际</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完成值</w:t>
            </w: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分值</w:t>
            </w: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自评</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得分</w:t>
            </w: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偏差原因分析及改进措施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产出指标</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（50分）</w:t>
            </w: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数量指标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质量指标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时效指标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成本指标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效益指标</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（30分）</w:t>
            </w: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经济效</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益指标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社会效</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益指标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生态效</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益指标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可持续影响指标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1"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满意度</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指标</w:t>
            </w:r>
          </w:p>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（10分）</w:t>
            </w:r>
          </w:p>
        </w:tc>
        <w:tc>
          <w:tcPr>
            <w:tcW w:w="953" w:type="dxa"/>
            <w:vMerge w:val="restart"/>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服务对象满意度指标</w:t>
            </w: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1" w:hRule="atLeast"/>
          <w:jc w:val="center"/>
        </w:trPr>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076"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953" w:type="dxa"/>
            <w:vMerge w:val="continue"/>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41"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w:t>
            </w:r>
          </w:p>
        </w:tc>
        <w:tc>
          <w:tcPr>
            <w:tcW w:w="124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277"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863" w:type="dxa"/>
            <w:gridSpan w:val="6"/>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总分</w:t>
            </w:r>
          </w:p>
        </w:tc>
        <w:tc>
          <w:tcPr>
            <w:tcW w:w="6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100</w:t>
            </w:r>
          </w:p>
        </w:tc>
        <w:tc>
          <w:tcPr>
            <w:tcW w:w="870"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c>
          <w:tcPr>
            <w:tcW w:w="1416" w:type="dxa"/>
            <w:noWrap w:val="0"/>
            <w:vAlign w:val="center"/>
          </w:tcPr>
          <w:p>
            <w:pPr>
              <w:keepNext w:val="0"/>
              <w:keepLines w:val="0"/>
              <w:pageBreakBefore w:val="0"/>
              <w:wordWrap/>
              <w:overflowPunct/>
              <w:autoSpaceDE/>
              <w:autoSpaceDN/>
              <w:bidi w:val="0"/>
              <w:spacing w:line="260" w:lineRule="exact"/>
              <w:ind w:firstLine="0" w:firstLineChars="0"/>
              <w:jc w:val="center"/>
              <w:rPr>
                <w:rFonts w:hint="default" w:ascii="Times New Roman" w:hAnsi="Times New Roman" w:eastAsia="仿宋_GB2312" w:cs="Times New Roman"/>
                <w:color w:val="auto"/>
                <w:sz w:val="20"/>
                <w:szCs w:val="20"/>
              </w:rPr>
            </w:pPr>
          </w:p>
        </w:tc>
      </w:tr>
    </w:tbl>
    <w:p>
      <w:pPr>
        <w:keepNext w:val="0"/>
        <w:keepLines w:val="0"/>
        <w:pageBreakBefore w:val="0"/>
        <w:kinsoku/>
        <w:wordWrap/>
        <w:overflowPunct/>
        <w:topLinePunct/>
        <w:autoSpaceDE/>
        <w:autoSpaceDN/>
        <w:bidi w:val="0"/>
        <w:spacing w:line="400" w:lineRule="exact"/>
        <w:ind w:firstLine="0" w:firstLineChars="0"/>
        <w:jc w:val="both"/>
        <w:rPr>
          <w:rFonts w:hint="eastAsia" w:ascii="Times New Roman" w:hAnsi="Times New Roman" w:eastAsia="仿宋_GB2312" w:cs="Times New Roman"/>
          <w:color w:val="auto"/>
          <w:sz w:val="24"/>
          <w:szCs w:val="24"/>
        </w:rPr>
        <w:sectPr>
          <w:footerReference r:id="rId9" w:type="default"/>
          <w:pgSz w:w="11905" w:h="16840"/>
          <w:pgMar w:top="1984" w:right="1474" w:bottom="1474" w:left="1474" w:header="850" w:footer="1134" w:gutter="0"/>
          <w:pgNumType w:fmt="decimal"/>
          <w:cols w:space="720" w:num="1"/>
        </w:sectPr>
      </w:pPr>
      <w:r>
        <w:rPr>
          <w:rFonts w:hint="eastAsia" w:ascii="Times New Roman" w:hAnsi="Times New Roman" w:eastAsia="仿宋_GB2312" w:cs="Times New Roman"/>
          <w:color w:val="auto"/>
          <w:sz w:val="24"/>
          <w:szCs w:val="24"/>
        </w:rPr>
        <w:t>填表人：        填报日期：           联系电话：             单位负责人签字：</w:t>
      </w:r>
    </w:p>
    <w:p>
      <w:pPr>
        <w:keepNext w:val="0"/>
        <w:keepLines w:val="0"/>
        <w:pageBreakBefore w:val="0"/>
        <w:wordWrap/>
        <w:overflowPunct/>
        <w:autoSpaceDE/>
        <w:autoSpaceDN/>
        <w:bidi w:val="0"/>
        <w:spacing w:line="60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color w:val="auto"/>
          <w:sz w:val="36"/>
          <w:szCs w:val="36"/>
        </w:rPr>
      </w:pPr>
      <w:r>
        <w:rPr>
          <w:rFonts w:hint="eastAsia" w:ascii="仿宋_GB2312" w:hAnsi="仿宋_GB2312" w:eastAsia="仿宋_GB2312" w:cs="仿宋_GB2312"/>
          <w:color w:val="auto"/>
          <w:sz w:val="36"/>
          <w:szCs w:val="36"/>
          <w:lang w:eastAsia="zh-CN"/>
        </w:rPr>
        <w:t>2024</w:t>
      </w:r>
      <w:r>
        <w:rPr>
          <w:rFonts w:hint="eastAsia" w:ascii="仿宋_GB2312" w:hAnsi="仿宋_GB2312" w:eastAsia="仿宋_GB2312" w:cs="仿宋_GB2312"/>
          <w:color w:val="auto"/>
          <w:sz w:val="36"/>
          <w:szCs w:val="36"/>
        </w:rPr>
        <w:t>年度项目支出绩效自评表（其他事业发展类）</w:t>
      </w:r>
    </w:p>
    <w:tbl>
      <w:tblPr>
        <w:tblStyle w:val="11"/>
        <w:tblW w:w="9354" w:type="dxa"/>
        <w:jc w:val="center"/>
        <w:tblLayout w:type="fixed"/>
        <w:tblCellMar>
          <w:top w:w="0" w:type="dxa"/>
          <w:left w:w="108" w:type="dxa"/>
          <w:bottom w:w="0" w:type="dxa"/>
          <w:right w:w="108" w:type="dxa"/>
        </w:tblCellMar>
      </w:tblPr>
      <w:tblGrid>
        <w:gridCol w:w="1024"/>
        <w:gridCol w:w="1025"/>
        <w:gridCol w:w="908"/>
        <w:gridCol w:w="1182"/>
        <w:gridCol w:w="1182"/>
        <w:gridCol w:w="1217"/>
        <w:gridCol w:w="639"/>
        <w:gridCol w:w="829"/>
        <w:gridCol w:w="1348"/>
      </w:tblGrid>
      <w:tr>
        <w:tblPrEx>
          <w:tblCellMar>
            <w:top w:w="0" w:type="dxa"/>
            <w:left w:w="108" w:type="dxa"/>
            <w:bottom w:w="0" w:type="dxa"/>
            <w:right w:w="108" w:type="dxa"/>
          </w:tblCellMar>
        </w:tblPrEx>
        <w:trPr>
          <w:trHeight w:val="283" w:hRule="atLeast"/>
          <w:jc w:val="center"/>
        </w:trPr>
        <w:tc>
          <w:tcPr>
            <w:tcW w:w="2957" w:type="dxa"/>
            <w:gridSpan w:val="3"/>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项目支出名称</w:t>
            </w:r>
          </w:p>
        </w:tc>
        <w:tc>
          <w:tcPr>
            <w:tcW w:w="6397" w:type="dxa"/>
            <w:gridSpan w:val="6"/>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sz w:val="18"/>
                <w:szCs w:val="18"/>
                <w:highlight w:val="none"/>
              </w:rPr>
              <w:t>专利转化服务平台支撑项目</w:t>
            </w:r>
          </w:p>
        </w:tc>
      </w:tr>
      <w:tr>
        <w:tblPrEx>
          <w:tblCellMar>
            <w:top w:w="0" w:type="dxa"/>
            <w:left w:w="108" w:type="dxa"/>
            <w:bottom w:w="0" w:type="dxa"/>
            <w:right w:w="108" w:type="dxa"/>
          </w:tblCellMar>
        </w:tblPrEx>
        <w:trPr>
          <w:trHeight w:val="283" w:hRule="atLeast"/>
          <w:jc w:val="center"/>
        </w:trPr>
        <w:tc>
          <w:tcPr>
            <w:tcW w:w="1024" w:type="dxa"/>
            <w:tcBorders>
              <w:top w:val="nil"/>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主管部门</w:t>
            </w:r>
          </w:p>
        </w:tc>
        <w:tc>
          <w:tcPr>
            <w:tcW w:w="4297"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sz w:val="18"/>
                <w:szCs w:val="18"/>
              </w:rPr>
              <w:t>湖南省市场监督管理局</w:t>
            </w:r>
          </w:p>
        </w:tc>
        <w:tc>
          <w:tcPr>
            <w:tcW w:w="1217" w:type="dxa"/>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实施单位</w:t>
            </w:r>
          </w:p>
        </w:tc>
        <w:tc>
          <w:tcPr>
            <w:tcW w:w="2816" w:type="dxa"/>
            <w:gridSpan w:val="3"/>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sz w:val="18"/>
                <w:szCs w:val="18"/>
              </w:rPr>
              <w:t>国家知识产权局专利局长沙代办处</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项目资金</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（万元）</w:t>
            </w: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8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年初预算数</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全年预算数</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全年执行数</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分值</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执行率</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自评得分</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年度资金总额</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99.14</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99.14</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99.14</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r>
              <w:rPr>
                <w:rFonts w:hint="default" w:ascii="Times New Roman" w:hAnsi="Times New Roman" w:eastAsia="仿宋_GB2312" w:cs="Times New Roman"/>
                <w:sz w:val="18"/>
                <w:szCs w:val="18"/>
              </w:rPr>
              <w:t>%</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其中：当年财政拨款</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257"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933" w:type="dxa"/>
            <w:gridSpan w:val="2"/>
            <w:tcBorders>
              <w:top w:val="nil"/>
              <w:left w:val="nil"/>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上年结转资金</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99.14</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99.14</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99.14</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100.00</w:t>
            </w:r>
            <w:r>
              <w:rPr>
                <w:rFonts w:hint="default" w:ascii="Times New Roman" w:hAnsi="Times New Roman" w:eastAsia="仿宋_GB2312" w:cs="Times New Roman"/>
                <w:sz w:val="18"/>
                <w:szCs w:val="18"/>
              </w:rPr>
              <w:t>%</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10</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933" w:type="dxa"/>
            <w:gridSpan w:val="2"/>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其他资金</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年度总体目标</w:t>
            </w:r>
          </w:p>
        </w:tc>
        <w:tc>
          <w:tcPr>
            <w:tcW w:w="4297" w:type="dxa"/>
            <w:gridSpan w:val="4"/>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预期目标</w:t>
            </w:r>
          </w:p>
        </w:tc>
        <w:tc>
          <w:tcPr>
            <w:tcW w:w="4033"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实际完成情况</w:t>
            </w:r>
          </w:p>
        </w:tc>
      </w:tr>
      <w:tr>
        <w:tblPrEx>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4297" w:type="dxa"/>
            <w:gridSpan w:val="4"/>
            <w:tcBorders>
              <w:top w:val="single" w:color="auto" w:sz="4" w:space="0"/>
              <w:left w:val="nil"/>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1、</w:t>
            </w:r>
            <w:r>
              <w:rPr>
                <w:rFonts w:hint="default" w:ascii="Times New Roman" w:hAnsi="Times New Roman" w:eastAsia="仿宋_GB2312" w:cs="Times New Roman"/>
                <w:sz w:val="18"/>
                <w:szCs w:val="18"/>
                <w:lang w:eastAsia="zh-CN"/>
              </w:rPr>
              <w:t>开展专利许可合同备案数据统计分析</w:t>
            </w:r>
          </w:p>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2、</w:t>
            </w:r>
            <w:r>
              <w:rPr>
                <w:rFonts w:hint="default" w:ascii="Times New Roman" w:hAnsi="Times New Roman" w:eastAsia="仿宋_GB2312" w:cs="Times New Roman"/>
                <w:sz w:val="18"/>
                <w:szCs w:val="18"/>
                <w:lang w:eastAsia="zh-CN"/>
              </w:rPr>
              <w:t>为专利开放许可试点工作提供许可备案数据支撑</w:t>
            </w:r>
          </w:p>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w:t>
            </w:r>
            <w:r>
              <w:rPr>
                <w:rFonts w:hint="default" w:ascii="Times New Roman" w:hAnsi="Times New Roman" w:eastAsia="仿宋_GB2312" w:cs="Times New Roman"/>
                <w:sz w:val="18"/>
                <w:szCs w:val="18"/>
                <w:lang w:eastAsia="zh-CN"/>
              </w:rPr>
              <w:t>做好知识产权质押融资信息保障</w:t>
            </w:r>
          </w:p>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4、</w:t>
            </w:r>
            <w:r>
              <w:rPr>
                <w:rFonts w:hint="default" w:ascii="Times New Roman" w:hAnsi="Times New Roman" w:eastAsia="仿宋_GB2312" w:cs="Times New Roman"/>
                <w:sz w:val="18"/>
                <w:szCs w:val="18"/>
                <w:lang w:eastAsia="zh-CN"/>
              </w:rPr>
              <w:t>做好知识产权质押登记服务</w:t>
            </w:r>
          </w:p>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5、</w:t>
            </w:r>
            <w:r>
              <w:rPr>
                <w:rFonts w:hint="default" w:ascii="Times New Roman" w:hAnsi="Times New Roman" w:eastAsia="仿宋_GB2312" w:cs="Times New Roman"/>
                <w:sz w:val="18"/>
                <w:szCs w:val="18"/>
                <w:lang w:eastAsia="zh-CN"/>
              </w:rPr>
              <w:t>开展专利转化手续办理相关流程培训及宣传活动</w:t>
            </w:r>
          </w:p>
        </w:tc>
        <w:tc>
          <w:tcPr>
            <w:tcW w:w="4033"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left"/>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1、完成</w:t>
            </w:r>
            <w:r>
              <w:rPr>
                <w:rFonts w:hint="default" w:ascii="Times New Roman" w:hAnsi="Times New Roman" w:eastAsia="仿宋_GB2312" w:cs="Times New Roman"/>
                <w:sz w:val="18"/>
                <w:szCs w:val="18"/>
                <w:lang w:eastAsia="zh-CN"/>
              </w:rPr>
              <w:t>开展专利转化手续办理相关流程培训及宣传活动</w:t>
            </w:r>
          </w:p>
          <w:p>
            <w:pPr>
              <w:keepNext w:val="0"/>
              <w:keepLines w:val="0"/>
              <w:pageBreakBefore w:val="0"/>
              <w:wordWrap/>
              <w:overflowPunct/>
              <w:autoSpaceDE/>
              <w:autoSpaceDN/>
              <w:bidi w:val="0"/>
              <w:spacing w:line="240" w:lineRule="exact"/>
              <w:ind w:firstLine="0" w:firstLineChars="0"/>
              <w:jc w:val="lef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val="en-US" w:eastAsia="zh-CN"/>
              </w:rPr>
              <w:t>2、圆满完成</w:t>
            </w:r>
            <w:r>
              <w:rPr>
                <w:rFonts w:hint="default" w:ascii="Times New Roman" w:hAnsi="Times New Roman" w:eastAsia="仿宋_GB2312" w:cs="Times New Roman"/>
                <w:sz w:val="18"/>
                <w:szCs w:val="18"/>
                <w:lang w:eastAsia="zh-CN"/>
              </w:rPr>
              <w:t>知识产权质押融资信息保障、知识产权质押登记服务</w:t>
            </w:r>
          </w:p>
          <w:p>
            <w:pPr>
              <w:keepNext w:val="0"/>
              <w:keepLines w:val="0"/>
              <w:pageBreakBefore w:val="0"/>
              <w:wordWrap/>
              <w:overflowPunct/>
              <w:autoSpaceDE/>
              <w:autoSpaceDN/>
              <w:bidi w:val="0"/>
              <w:spacing w:line="240" w:lineRule="exact"/>
              <w:ind w:firstLine="0" w:firstLineChars="0"/>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rPr>
              <w:t>3、完成</w:t>
            </w:r>
            <w:r>
              <w:rPr>
                <w:rFonts w:hint="default" w:ascii="Times New Roman" w:hAnsi="Times New Roman" w:eastAsia="仿宋_GB2312" w:cs="Times New Roman"/>
                <w:sz w:val="18"/>
                <w:szCs w:val="18"/>
                <w:lang w:eastAsia="zh-CN"/>
              </w:rPr>
              <w:t>专利许可合同备案数据统计分析</w:t>
            </w:r>
          </w:p>
        </w:tc>
      </w:tr>
      <w:tr>
        <w:tblPrEx>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绩</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标</w:t>
            </w:r>
          </w:p>
        </w:tc>
        <w:tc>
          <w:tcPr>
            <w:tcW w:w="1025"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一级指标</w:t>
            </w:r>
          </w:p>
        </w:tc>
        <w:tc>
          <w:tcPr>
            <w:tcW w:w="90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二级指标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三级指标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年度</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指标值</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实际</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完成值</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分值</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自评</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得分</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偏差原因分析及改进措施</w:t>
            </w: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产出指标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（50分）</w:t>
            </w:r>
          </w:p>
        </w:tc>
        <w:tc>
          <w:tcPr>
            <w:tcW w:w="908" w:type="dxa"/>
            <w:vMerge w:val="restart"/>
            <w:tcBorders>
              <w:top w:val="single" w:color="auto" w:sz="4" w:space="0"/>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数量指标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开展专利转化手续办理相关流程培训次数</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≥1次</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1次</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vMerge w:val="continue"/>
            <w:tcBorders>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知识产权调研活动次数</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≥1次</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1次</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vMerge w:val="restart"/>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质量指标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参与培训完成率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100%</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100%</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vMerge w:val="continue"/>
            <w:tcBorders>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资金使用合规率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100%</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100%</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vMerge w:val="restart"/>
            <w:tcBorders>
              <w:top w:val="nil"/>
              <w:left w:val="nil"/>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时效指标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调研活动完成时间</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2024年底之前</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2024年底之前</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vMerge w:val="continue"/>
            <w:tcBorders>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专利转化服务平台支撑项目完成时间</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2024年底之前</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2024年底之前</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5</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成本指标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项目成本</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≤99.14万元</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99.14万元</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32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restart"/>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效益指标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（30分）</w:t>
            </w:r>
          </w:p>
        </w:tc>
        <w:tc>
          <w:tcPr>
            <w:tcW w:w="908" w:type="dxa"/>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经济效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益指标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vMerge w:val="restart"/>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社会效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益指标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有效促进创新和技术进步</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有效促进</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有效促进</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vMerge w:val="continue"/>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提高工作人员素质及业务水平，规范财政管理</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效果良好</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效果良好</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生态效</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益指标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vMerge w:val="continue"/>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90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可持续影响指标</w:t>
            </w:r>
          </w:p>
        </w:tc>
        <w:tc>
          <w:tcPr>
            <w:tcW w:w="118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持续保障单位稳步运行</w:t>
            </w:r>
          </w:p>
        </w:tc>
        <w:tc>
          <w:tcPr>
            <w:tcW w:w="118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长期</w:t>
            </w:r>
          </w:p>
        </w:tc>
        <w:tc>
          <w:tcPr>
            <w:tcW w:w="121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长期</w:t>
            </w:r>
          </w:p>
        </w:tc>
        <w:tc>
          <w:tcPr>
            <w:tcW w:w="63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82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134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1024" w:type="dxa"/>
            <w:vMerge w:val="continue"/>
            <w:tcBorders>
              <w:left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c>
          <w:tcPr>
            <w:tcW w:w="1025" w:type="dxa"/>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满意度</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指标</w:t>
            </w:r>
          </w:p>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（10分）</w:t>
            </w:r>
          </w:p>
        </w:tc>
        <w:tc>
          <w:tcPr>
            <w:tcW w:w="908" w:type="dxa"/>
            <w:tcBorders>
              <w:top w:val="single" w:color="auto" w:sz="4" w:space="0"/>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服务对象满意度指标</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单位人员满意度</w:t>
            </w:r>
          </w:p>
        </w:tc>
        <w:tc>
          <w:tcPr>
            <w:tcW w:w="1182"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≥95%</w:t>
            </w:r>
          </w:p>
        </w:tc>
        <w:tc>
          <w:tcPr>
            <w:tcW w:w="1217"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95%</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283" w:hRule="atLeast"/>
          <w:jc w:val="center"/>
        </w:trPr>
        <w:tc>
          <w:tcPr>
            <w:tcW w:w="6538" w:type="dxa"/>
            <w:gridSpan w:val="6"/>
            <w:tcBorders>
              <w:top w:val="single" w:color="auto" w:sz="4" w:space="0"/>
              <w:left w:val="single" w:color="auto" w:sz="4" w:space="0"/>
              <w:bottom w:val="single" w:color="auto" w:sz="4" w:space="0"/>
              <w:right w:val="single" w:color="000000"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总分</w:t>
            </w:r>
          </w:p>
        </w:tc>
        <w:tc>
          <w:tcPr>
            <w:tcW w:w="63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100</w:t>
            </w:r>
          </w:p>
        </w:tc>
        <w:tc>
          <w:tcPr>
            <w:tcW w:w="829"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100</w:t>
            </w:r>
          </w:p>
        </w:tc>
        <w:tc>
          <w:tcPr>
            <w:tcW w:w="1348" w:type="dxa"/>
            <w:tcBorders>
              <w:top w:val="nil"/>
              <w:left w:val="nil"/>
              <w:bottom w:val="single" w:color="auto" w:sz="4" w:space="0"/>
              <w:right w:val="single" w:color="auto" w:sz="4" w:space="0"/>
            </w:tcBorders>
            <w:noWrap w:val="0"/>
            <w:tcMar>
              <w:left w:w="0" w:type="dxa"/>
              <w:right w:w="0" w:type="dxa"/>
            </w:tcMar>
            <w:vAlign w:val="center"/>
          </w:tcPr>
          <w:p>
            <w:pPr>
              <w:keepNext w:val="0"/>
              <w:keepLines w:val="0"/>
              <w:pageBreakBefore w:val="0"/>
              <w:wordWrap/>
              <w:overflowPunct/>
              <w:autoSpaceDE/>
              <w:autoSpaceDN/>
              <w:bidi w:val="0"/>
              <w:spacing w:line="240" w:lineRule="exact"/>
              <w:ind w:firstLine="0" w:firstLineChars="0"/>
              <w:jc w:val="center"/>
              <w:rPr>
                <w:rFonts w:hint="default" w:ascii="Times New Roman" w:hAnsi="Times New Roman" w:eastAsia="仿宋_GB2312" w:cs="Times New Roman"/>
                <w:color w:val="auto"/>
                <w:sz w:val="18"/>
                <w:szCs w:val="18"/>
              </w:rPr>
            </w:pPr>
          </w:p>
        </w:tc>
      </w:tr>
    </w:tbl>
    <w:p>
      <w:pPr>
        <w:keepNext w:val="0"/>
        <w:keepLines w:val="0"/>
        <w:pageBreakBefore w:val="0"/>
        <w:kinsoku/>
        <w:wordWrap/>
        <w:overflowPunct/>
        <w:topLinePunct/>
        <w:autoSpaceDE/>
        <w:autoSpaceDN/>
        <w:bidi w:val="0"/>
        <w:spacing w:line="400" w:lineRule="exact"/>
        <w:ind w:firstLine="0" w:firstLineChars="0"/>
        <w:jc w:val="both"/>
        <w:rPr>
          <w:rFonts w:ascii="Times New Roman" w:hAnsi="Times New Roman" w:cs="Times New Roman"/>
          <w:sz w:val="72"/>
          <w:szCs w:val="72"/>
        </w:rPr>
      </w:pPr>
      <w:r>
        <w:rPr>
          <w:rFonts w:hint="default" w:ascii="Times New Roman" w:hAnsi="Times New Roman" w:eastAsia="仿宋_GB2312" w:cs="Times New Roman"/>
          <w:color w:val="auto"/>
          <w:sz w:val="21"/>
          <w:szCs w:val="21"/>
        </w:rPr>
        <w:t xml:space="preserve">填表人：冯明哲 </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填报日期：</w:t>
      </w:r>
      <w:r>
        <w:rPr>
          <w:rFonts w:hint="default" w:ascii="Times New Roman" w:hAnsi="Times New Roman" w:eastAsia="仿宋_GB2312" w:cs="Times New Roman"/>
          <w:sz w:val="21"/>
          <w:szCs w:val="21"/>
        </w:rPr>
        <w:t>202</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31</w:t>
      </w:r>
      <w:r>
        <w:rPr>
          <w:rFonts w:hint="default" w:ascii="Times New Roman" w:hAnsi="Times New Roman" w:eastAsia="仿宋_GB2312" w:cs="Times New Roman"/>
          <w:color w:val="auto"/>
          <w:sz w:val="21"/>
          <w:szCs w:val="21"/>
        </w:rPr>
        <w:t xml:space="preserve">  联系电话：13467575936</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单位负责人签字</w:t>
      </w:r>
      <w:r>
        <w:rPr>
          <w:rFonts w:hint="default" w:ascii="Times New Roman" w:hAnsi="Times New Roman" w:eastAsia="仿宋_GB2312" w:cs="Times New Roman"/>
          <w:color w:val="auto"/>
          <w:sz w:val="21"/>
          <w:szCs w:val="21"/>
          <w:lang w:eastAsia="zh-CN"/>
        </w:rPr>
        <w:t>：</w:t>
      </w: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Cs w:val="27"/>
      </w:rPr>
    </w:pPr>
    <w:r>
      <w:rPr>
        <w:snapToGrid/>
        <w:szCs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12</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KqLMpSzAQAAUgMAAA4AAABk&#10;cnMvZTJvRG9jLnhtbK1TS27bMBDdF8gdCO5jyl4EhmA5SBAkCBA0BdIegKZIiwB/GNKWfIHmBl11&#10;033P5XN0SFvOp7sgG2o4M3rz3sxwcTlYQ7YSovauodNJRYl0wrfarRv64/vt+ZySmLhrufFONnQn&#10;I71cnn1Z9KGWM99500ogCOJi3YeGdimFmrEoOml5nPggHQaVB8sTXmHNWuA9olvDZlV1wXoPbQAv&#10;ZIzovTkE6bLgKyVFelQqykRMQ5FbKieUc5VPtlzweg08dFocafAPsLBcOyx6grrhiZMN6P+grBbg&#10;o1dpIrxlXiktZNGAaqbVOzVPHQ+yaMHmxHBqU/w8WPF1+w2IbnF2lDhucUT7X8/733/3f36SaW5P&#10;H2KNWU8B89Jw7YeGJtjIMRTRn4UPCmz+oiSCKdjr3am/ckhEoHM6n83nFYYExsYLlmAvvweI6U56&#10;S7LRUMABlr7y7UNMh9QxJVdz/lYbU4Zo3BsHYmYPy/QPHLOVhtVw1LTy7Q4l9Tj7hjpcTkrMvcPW&#10;5jUZDRiN1WhsAuh1h9QUNzEPhyP81SYhkcIvVzlAH4vj4IrC45LlzXh9L1kvT2H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HNAv+3SAAAABgEAAA8AAAAAAAAAAQAgAAAAOAAAAGRycy9kb3ducmV2&#10;LnhtbFBLAQIUABQAAAAIAIdO4kCqizKUswEAAFIDAAAOAAAAAAAAAAEAIAAAADcBAABkcnMvZTJv&#10;RG9jLnhtbFBLBQYAAAAABgAGAFkBAABcBQ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12</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right="38"/>
      <w:jc w:val="right"/>
      <w:rPr>
        <w:rFonts w:ascii="宋体" w:hAnsi="宋体" w:eastAsia="宋体" w:cs="宋体"/>
        <w:sz w:val="27"/>
        <w:szCs w:val="27"/>
      </w:rPr>
    </w:pPr>
    <w:r>
      <w:rPr>
        <w:snapToGrid/>
        <w:szCs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12</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HNAv+3SAAAABgEAAA8AAABkcnMvZG93bnJldi54bWxNjzFPwzAQhXck/oN1&#10;SGzUboVKCHE6VGJhoyCkbm58jSPsc2S7afLvOSaY7p3e6d33mt0cvJgw5SGShvVKgUDqoh2o1/D5&#10;8fpQgcjFkDU+EmpYMMOuvb1pTG3jld5xOpRecAjl2mhwpYy1lLlzGExexRGJvXNMwRReUy9tMlcO&#10;D15ulNrKYAbiD86MuHfYfR8uQcPT/BVxzLjH43nqkhuWyr8tWt/frdULiIJz+TuGX3xGh5aZTvFC&#10;NguvgYsUDVsebG6qisWJxfOjAtk28j9++wNQSwMEFAAAAAgAh07iQK4Oo3+0AQAAUgMAAA4AAABk&#10;cnMvZTJvRG9jLnhtbK1TzW4TMRC+I/EOlu/Em1RC0SpOBaqKkBBFKjyA47WzlvynsZPdvAB9A05c&#10;uPNceQ7GTjZt6Q1x8Y5nZr/5vpnx6np0luwVJBM8p/NZQ4nyMnTGbzn99vX2zZKSlIXvhA1ecXpQ&#10;iV6vX79aDbFVi9AH2ykgCOJTO0RO+5xjy1iSvXIizUJUHoM6gBMZr7BlHYgB0Z1li6Z5y4YAXYQg&#10;VUrovTkF6bria61kvtM6qUwsp8gt1xPquSknW69EuwUReyPPNMQ/sHDCeCx6gboRWZAdmBdQzkgI&#10;Keg8k8GxoLWRqmpANfPmLzX3vYiqasHmpHhpU/p/sPLz/gsQ03F6RYkXDkd0/PFw/Pn7+Os7uSrt&#10;GWJqMes+Yl4e34eR0ww7NYUS+ovwUYMrX5REMAV7fbj0V42ZSHTOl4vlssGQxNh0wRLs8fcIKX9Q&#10;wZFicAo4wNpXsf+U8il1SinVfLg11tYhWv/MgZjFwwr9E8di5XEznjVtQndASQPOnlOPy0mJ/eix&#10;tWVNJgMmYzMZuwhm2yM1LWwqwxEI/26XkUjlV6qcoM/FcXBV4XnJymY8vdesx6ew/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zQL/t0gAAAAYBAAAPAAAAAAAAAAEAIAAAADgAAABkcnMvZG93bnJl&#10;di54bWxQSwECFAAUAAAACACHTuJArg6jf7QBAABSAwAADgAAAAAAAAABACAAAAA3AQAAZHJzL2Uy&#10;b0RvYy54bWxQSwUGAAAAAAYABgBZAQAAXQU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12</w:t>
                    </w:r>
                    <w:r>
                      <w:rPr>
                        <w:rFonts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DFD4A"/>
    <w:multiLevelType w:val="singleLevel"/>
    <w:tmpl w:val="D69DFD4A"/>
    <w:lvl w:ilvl="0" w:tentative="0">
      <w:start w:val="1"/>
      <w:numFmt w:val="chineseCounting"/>
      <w:suff w:val="nothing"/>
      <w:lvlText w:val="（%1）"/>
      <w:lvlJc w:val="left"/>
      <w:pPr>
        <w:ind w:left="0" w:firstLine="420"/>
      </w:pPr>
      <w:rPr>
        <w:rFonts w:hint="eastAsia"/>
      </w:rPr>
    </w:lvl>
  </w:abstractNum>
  <w:abstractNum w:abstractNumId="1">
    <w:nsid w:val="EBD64523"/>
    <w:multiLevelType w:val="singleLevel"/>
    <w:tmpl w:val="EBD64523"/>
    <w:lvl w:ilvl="0" w:tentative="0">
      <w:start w:val="1"/>
      <w:numFmt w:val="decimal"/>
      <w:suff w:val="nothing"/>
      <w:lvlText w:val="%1、"/>
      <w:lvlJc w:val="left"/>
    </w:lvl>
  </w:abstractNum>
  <w:abstractNum w:abstractNumId="2">
    <w:nsid w:val="FD47DFD5"/>
    <w:multiLevelType w:val="singleLevel"/>
    <w:tmpl w:val="FD47DFD5"/>
    <w:lvl w:ilvl="0" w:tentative="0">
      <w:start w:val="3"/>
      <w:numFmt w:val="chineseCounting"/>
      <w:suff w:val="nothing"/>
      <w:lvlText w:val="%1、"/>
      <w:lvlJc w:val="left"/>
      <w:rPr>
        <w:rFonts w:hint="eastAsia"/>
      </w:rPr>
    </w:lvl>
  </w:abstractNum>
  <w:abstractNum w:abstractNumId="3">
    <w:nsid w:val="5CC5392A"/>
    <w:multiLevelType w:val="singleLevel"/>
    <w:tmpl w:val="5CC5392A"/>
    <w:lvl w:ilvl="0" w:tentative="0">
      <w:start w:val="10"/>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16BE5"/>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B344FD"/>
    <w:rsid w:val="137913E6"/>
    <w:rsid w:val="140E272A"/>
    <w:rsid w:val="1D97DEFF"/>
    <w:rsid w:val="1DFF72E5"/>
    <w:rsid w:val="1E6A2F31"/>
    <w:rsid w:val="1EF13454"/>
    <w:rsid w:val="1EFC6F07"/>
    <w:rsid w:val="24E26B54"/>
    <w:rsid w:val="2CD96530"/>
    <w:rsid w:val="2EBF377D"/>
    <w:rsid w:val="2FDF85B8"/>
    <w:rsid w:val="2FFFEE04"/>
    <w:rsid w:val="31BB1005"/>
    <w:rsid w:val="33F7209D"/>
    <w:rsid w:val="34DF85B0"/>
    <w:rsid w:val="3814410A"/>
    <w:rsid w:val="3B8F36BC"/>
    <w:rsid w:val="3CBA2E43"/>
    <w:rsid w:val="40C35B27"/>
    <w:rsid w:val="449267D7"/>
    <w:rsid w:val="491FF225"/>
    <w:rsid w:val="4FFD214C"/>
    <w:rsid w:val="548824CF"/>
    <w:rsid w:val="54E30C7D"/>
    <w:rsid w:val="5777D4F5"/>
    <w:rsid w:val="58F56B3C"/>
    <w:rsid w:val="59DD8326"/>
    <w:rsid w:val="5CF56707"/>
    <w:rsid w:val="5DEF592A"/>
    <w:rsid w:val="5FC6BB1E"/>
    <w:rsid w:val="5FF720F1"/>
    <w:rsid w:val="62775FD3"/>
    <w:rsid w:val="67D30150"/>
    <w:rsid w:val="67FF5C0B"/>
    <w:rsid w:val="6A305990"/>
    <w:rsid w:val="6D331B98"/>
    <w:rsid w:val="6EFC0924"/>
    <w:rsid w:val="6FB74722"/>
    <w:rsid w:val="6FBB1BCE"/>
    <w:rsid w:val="6FEF8B7E"/>
    <w:rsid w:val="71A6591B"/>
    <w:rsid w:val="737D59BA"/>
    <w:rsid w:val="7392447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9FD140A"/>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Autospacing="0" w:afterAutospacing="0"/>
      <w:jc w:val="both"/>
      <w:outlineLvl w:val="0"/>
    </w:pPr>
    <w:rPr>
      <w:rFonts w:ascii="Times New Roman" w:hAnsi="Times New Roman" w:eastAsia="黑体" w:cs="Times New Roman"/>
      <w:snapToGrid w:val="0"/>
      <w:color w:val="000000"/>
      <w:kern w:val="44"/>
      <w:sz w:val="32"/>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w:basedOn w:val="1"/>
    <w:qFormat/>
    <w:uiPriority w:val="0"/>
    <w:rPr>
      <w:kern w:val="0"/>
      <w:sz w:val="2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character" w:styleId="13">
    <w:name w:val="Strong"/>
    <w:qFormat/>
    <w:uiPriority w:val="0"/>
    <w:rPr>
      <w:rFonts w:cs="Times New Roman"/>
      <w:b/>
      <w:bCs/>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7"/>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1725</Words>
  <Characters>2048</Characters>
  <Lines>69</Lines>
  <Paragraphs>19</Paragraphs>
  <TotalTime>1</TotalTime>
  <ScaleCrop>false</ScaleCrop>
  <LinksUpToDate>false</LinksUpToDate>
  <CharactersWithSpaces>2063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kylin</cp:lastModifiedBy>
  <cp:lastPrinted>2024-08-09T02:20:00Z</cp:lastPrinted>
  <dcterms:modified xsi:type="dcterms:W3CDTF">2025-09-28T09:09:02Z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BB7B6AA21D207914D6FDA268992A22D6</vt:lpwstr>
  </property>
  <property fmtid="{D5CDD505-2E9C-101B-9397-08002B2CF9AE}" pid="4" name="KSOTemplateDocerSaveRecord">
    <vt:lpwstr>eyJoZGlkIjoiNTMwNDRmYmUyNWEzYzQyNTZkMTNhNGU0ZmRjYzg2MDEiLCJ1c2VySWQiOiI1NDMzMTMzMDcifQ==</vt:lpwstr>
  </property>
</Properties>
</file>