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56"/>
          <w:szCs w:val="56"/>
        </w:rPr>
      </w:pPr>
    </w:p>
    <w:p>
      <w:pPr>
        <w:pStyle w:val="13"/>
        <w:jc w:val="center"/>
        <w:rPr>
          <w:sz w:val="56"/>
          <w:szCs w:val="56"/>
        </w:rPr>
      </w:pPr>
    </w:p>
    <w:p>
      <w:pPr>
        <w:pStyle w:val="13"/>
        <w:jc w:val="center"/>
        <w:rPr>
          <w:sz w:val="84"/>
          <w:szCs w:val="84"/>
        </w:rPr>
      </w:pPr>
    </w:p>
    <w:p>
      <w:pPr>
        <w:pStyle w:val="13"/>
        <w:jc w:val="both"/>
        <w:rPr>
          <w:sz w:val="84"/>
          <w:szCs w:val="84"/>
        </w:rPr>
      </w:pPr>
    </w:p>
    <w:p>
      <w:pPr>
        <w:pStyle w:val="13"/>
        <w:jc w:val="center"/>
        <w:rPr>
          <w:sz w:val="84"/>
          <w:szCs w:val="84"/>
        </w:rPr>
      </w:pPr>
    </w:p>
    <w:p>
      <w:pPr>
        <w:pStyle w:val="13"/>
        <w:jc w:val="center"/>
        <w:rPr>
          <w:rFonts w:hint="eastAsia"/>
          <w:sz w:val="72"/>
          <w:szCs w:val="72"/>
        </w:rPr>
      </w:pPr>
      <w:r>
        <w:rPr>
          <w:rFonts w:hint="eastAsia"/>
          <w:sz w:val="72"/>
          <w:szCs w:val="72"/>
        </w:rPr>
        <w:t>2021年度</w:t>
      </w:r>
    </w:p>
    <w:p>
      <w:pPr>
        <w:pStyle w:val="13"/>
        <w:jc w:val="center"/>
        <w:rPr>
          <w:rFonts w:hint="eastAsia"/>
          <w:sz w:val="72"/>
          <w:szCs w:val="72"/>
          <w:lang w:val="en-US" w:eastAsia="zh-CN"/>
        </w:rPr>
      </w:pPr>
      <w:r>
        <w:rPr>
          <w:rFonts w:hint="eastAsia"/>
          <w:sz w:val="72"/>
          <w:szCs w:val="72"/>
          <w:lang w:val="en-US" w:eastAsia="zh-CN"/>
        </w:rPr>
        <w:t>湖南省食品安全审评认证中心</w:t>
      </w:r>
    </w:p>
    <w:p>
      <w:pPr>
        <w:pStyle w:val="13"/>
        <w:jc w:val="center"/>
        <w:rPr>
          <w:rFonts w:hint="eastAsia"/>
          <w:sz w:val="72"/>
          <w:szCs w:val="72"/>
        </w:rPr>
      </w:pPr>
      <w:r>
        <w:rPr>
          <w:rFonts w:hint="eastAsia"/>
          <w:sz w:val="72"/>
          <w:szCs w:val="72"/>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rFonts w:hint="eastAsia" w:eastAsia="黑体"/>
          <w:b/>
          <w:sz w:val="36"/>
          <w:szCs w:val="28"/>
          <w:lang w:val="en-US" w:eastAsia="zh-CN"/>
        </w:rPr>
      </w:pPr>
      <w:r>
        <w:rPr>
          <w:rFonts w:hint="eastAsia"/>
          <w:b/>
          <w:sz w:val="36"/>
          <w:szCs w:val="28"/>
          <w:lang w:val="en-US" w:eastAsia="zh-CN"/>
        </w:rPr>
        <w:t>目 录</w:t>
      </w:r>
    </w:p>
    <w:p>
      <w:pPr>
        <w:pStyle w:val="13"/>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湖南省食品安全审评认证中心</w:t>
      </w:r>
      <w:r>
        <w:rPr>
          <w:rFonts w:hint="eastAsia"/>
          <w:b/>
          <w:sz w:val="28"/>
          <w:szCs w:val="28"/>
        </w:rPr>
        <w:t>单位概况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rFonts w:hint="eastAsia"/>
          <w:sz w:val="84"/>
          <w:szCs w:val="84"/>
        </w:rPr>
      </w:pPr>
      <w:r>
        <w:rPr>
          <w:rFonts w:hint="eastAsia"/>
          <w:sz w:val="84"/>
          <w:szCs w:val="84"/>
        </w:rPr>
        <w:br w:type="page"/>
      </w:r>
    </w:p>
    <w:p>
      <w:pPr>
        <w:pStyle w:val="13"/>
        <w:jc w:val="both"/>
        <w:rPr>
          <w:rFonts w:hint="eastAsia"/>
          <w:sz w:val="84"/>
          <w:szCs w:val="84"/>
        </w:rPr>
      </w:pPr>
    </w:p>
    <w:p>
      <w:pPr>
        <w:pStyle w:val="13"/>
        <w:jc w:val="center"/>
        <w:rPr>
          <w:rFonts w:hint="eastAsia"/>
          <w:sz w:val="84"/>
          <w:szCs w:val="84"/>
        </w:rPr>
      </w:pPr>
    </w:p>
    <w:p>
      <w:pPr>
        <w:pStyle w:val="13"/>
        <w:jc w:val="center"/>
        <w:rPr>
          <w:rFonts w:hint="eastAsia"/>
          <w:sz w:val="84"/>
          <w:szCs w:val="84"/>
        </w:rPr>
      </w:pPr>
    </w:p>
    <w:p>
      <w:pPr>
        <w:pStyle w:val="13"/>
        <w:jc w:val="both"/>
        <w:rPr>
          <w:rFonts w:hint="eastAsia"/>
          <w:sz w:val="84"/>
          <w:szCs w:val="84"/>
        </w:rPr>
      </w:pPr>
    </w:p>
    <w:p>
      <w:pPr>
        <w:pStyle w:val="13"/>
        <w:jc w:val="center"/>
        <w:rPr>
          <w:rFonts w:hint="eastAsia"/>
          <w:sz w:val="72"/>
          <w:szCs w:val="72"/>
        </w:rPr>
      </w:pPr>
      <w:r>
        <w:rPr>
          <w:rFonts w:hint="eastAsia"/>
          <w:sz w:val="72"/>
          <w:szCs w:val="72"/>
        </w:rPr>
        <w:t xml:space="preserve">第一部分 </w:t>
      </w:r>
    </w:p>
    <w:p>
      <w:pPr>
        <w:pStyle w:val="13"/>
        <w:jc w:val="center"/>
        <w:rPr>
          <w:rFonts w:hint="eastAsia"/>
          <w:sz w:val="72"/>
          <w:szCs w:val="72"/>
        </w:rPr>
      </w:pPr>
    </w:p>
    <w:p>
      <w:pPr>
        <w:pStyle w:val="13"/>
        <w:jc w:val="center"/>
        <w:rPr>
          <w:rFonts w:hint="eastAsia"/>
          <w:sz w:val="72"/>
          <w:szCs w:val="72"/>
          <w:lang w:val="en-US" w:eastAsia="zh-CN"/>
        </w:rPr>
      </w:pPr>
      <w:r>
        <w:rPr>
          <w:rFonts w:hint="eastAsia"/>
          <w:sz w:val="72"/>
          <w:szCs w:val="72"/>
          <w:lang w:val="en-US" w:eastAsia="zh-CN"/>
        </w:rPr>
        <w:t>湖南省食品安全审评认证中心</w:t>
      </w:r>
    </w:p>
    <w:p>
      <w:pPr>
        <w:pStyle w:val="13"/>
        <w:jc w:val="center"/>
        <w:rPr>
          <w:rFonts w:hint="eastAsia"/>
          <w:sz w:val="72"/>
          <w:szCs w:val="72"/>
        </w:rPr>
      </w:pPr>
      <w:r>
        <w:rPr>
          <w:rFonts w:hint="eastAsia"/>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1、负责省级食品（含特殊食品、食品添加剂）许可事项及注册、备案的技术审评和现场核查工作、食品生产经营企业GMP、GSP的认证工作；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2、受省局委托承担食品生产经营企业的跟踪检查和飞行检查工作；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3、承担省级食品生产经营许可审查员、认证检查员及其师资的日常管理和培训考核工作；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4、开展食品安全琢审评认证相关政策法规宣传、咨询、研究、技术指导和交流与合作；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5、协助省局制订或修订食品技术审评标准、要求及工作程序；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6、指导全省食品生产经营技术审评认证工作；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7、承担省局交办的其他有关事项。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我中心内设机构共5个，分别是综合科、质控科、审评一科、审评二科、审评三科。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二</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决算单位构成。</w:t>
      </w:r>
    </w:p>
    <w:p>
      <w:pPr>
        <w:jc w:val="left"/>
        <w:rPr>
          <w:rFonts w:hint="default" w:ascii="仿宋_GB2312" w:eastAsia="仿宋_GB2312" w:hAnsiTheme="minorEastAsia"/>
          <w:sz w:val="28"/>
          <w:szCs w:val="32"/>
          <w:lang w:val="en-US" w:eastAsia="zh-CN"/>
        </w:rPr>
      </w:pPr>
      <w:r>
        <w:rPr>
          <w:rFonts w:hint="eastAsia" w:ascii="仿宋_GB2312" w:eastAsia="仿宋_GB2312" w:hAnsiTheme="minorEastAsia"/>
          <w:sz w:val="28"/>
          <w:szCs w:val="32"/>
          <w:lang w:val="en-US" w:eastAsia="zh-CN"/>
        </w:rPr>
        <w:t xml:space="preserve">  </w:t>
      </w:r>
      <w:r>
        <w:rPr>
          <w:rFonts w:hint="eastAsia" w:asciiTheme="minorEastAsia" w:hAnsiTheme="minorEastAsia"/>
          <w:bCs/>
          <w:kern w:val="0"/>
          <w:sz w:val="32"/>
          <w:szCs w:val="32"/>
          <w:lang w:val="en-US" w:eastAsia="zh-CN"/>
        </w:rPr>
        <w:t xml:space="preserve"> 湖南省食品安全审评认证中心</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r>
        <w:rPr>
          <w:rFonts w:hint="eastAsia" w:asciiTheme="minorEastAsia" w:hAnsiTheme="minorEastAsia"/>
          <w:bCs/>
          <w:color w:val="E46C0A" w:themeColor="accent6" w:themeShade="BF"/>
          <w:kern w:val="0"/>
          <w:sz w:val="32"/>
          <w:szCs w:val="32"/>
        </w:rPr>
        <w:t>本单位无下级预算单位，</w:t>
      </w:r>
      <w:r>
        <w:rPr>
          <w:rFonts w:hint="eastAsia" w:asciiTheme="minorEastAsia" w:hAnsiTheme="minorEastAsia"/>
          <w:bCs/>
          <w:color w:val="E46C0A" w:themeColor="accent6" w:themeShade="BF"/>
          <w:kern w:val="0"/>
          <w:sz w:val="32"/>
          <w:szCs w:val="32"/>
          <w:lang w:val="en-US" w:eastAsia="zh-CN"/>
        </w:rPr>
        <w:t>本次决算公开仅包括</w:t>
      </w:r>
      <w:r>
        <w:rPr>
          <w:rFonts w:hint="eastAsia" w:asciiTheme="minorEastAsia" w:hAnsiTheme="minorEastAsia"/>
          <w:bCs/>
          <w:kern w:val="0"/>
          <w:sz w:val="32"/>
          <w:szCs w:val="32"/>
          <w:lang w:val="en-US" w:eastAsia="zh-CN"/>
        </w:rPr>
        <w:t>湖南省食品安全审评认证中心</w:t>
      </w:r>
      <w:r>
        <w:rPr>
          <w:rFonts w:hint="eastAsia" w:asciiTheme="minorEastAsia" w:hAnsiTheme="minorEastAsia"/>
          <w:bCs/>
          <w:kern w:val="0"/>
          <w:sz w:val="32"/>
          <w:szCs w:val="32"/>
        </w:rPr>
        <w:t>本级</w:t>
      </w:r>
      <w:r>
        <w:rPr>
          <w:rFonts w:hint="eastAsia" w:asciiTheme="minorEastAsia" w:hAnsiTheme="minorEastAsia"/>
          <w:bCs/>
          <w:kern w:val="0"/>
          <w:sz w:val="32"/>
          <w:szCs w:val="32"/>
          <w:lang w:val="en-US" w:eastAsia="zh-CN"/>
        </w:rPr>
        <w:t>。</w:t>
      </w:r>
    </w:p>
    <w:p>
      <w:pPr>
        <w:jc w:val="left"/>
        <w:rPr>
          <w:rFonts w:hint="default" w:ascii="仿宋_GB2312" w:eastAsia="仿宋_GB2312" w:hAnsiTheme="minorEastAsia"/>
          <w:sz w:val="28"/>
          <w:szCs w:val="32"/>
          <w:lang w:val="en-US"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pStyle w:val="2"/>
        <w:rPr>
          <w:sz w:val="72"/>
          <w:szCs w:val="72"/>
        </w:rPr>
      </w:pPr>
    </w:p>
    <w:p>
      <w:pPr>
        <w:pStyle w:val="13"/>
        <w:jc w:val="center"/>
        <w:rPr>
          <w:rFonts w:hint="eastAsia"/>
          <w:sz w:val="72"/>
          <w:szCs w:val="72"/>
        </w:rPr>
      </w:pPr>
    </w:p>
    <w:p>
      <w:pPr>
        <w:pStyle w:val="13"/>
        <w:jc w:val="center"/>
        <w:rPr>
          <w:rFonts w:hint="eastAsia"/>
          <w:sz w:val="72"/>
          <w:szCs w:val="72"/>
        </w:rPr>
      </w:pPr>
      <w:r>
        <w:rPr>
          <w:rFonts w:hint="eastAsia"/>
          <w:sz w:val="72"/>
          <w:szCs w:val="72"/>
        </w:rPr>
        <w:t>第二部分</w:t>
      </w:r>
    </w:p>
    <w:p>
      <w:pPr>
        <w:pStyle w:val="13"/>
        <w:jc w:val="center"/>
        <w:rPr>
          <w:rFonts w:hint="eastAsia"/>
          <w:sz w:val="72"/>
          <w:szCs w:val="72"/>
        </w:rPr>
      </w:pPr>
    </w:p>
    <w:p>
      <w:pPr>
        <w:pStyle w:val="13"/>
        <w:jc w:val="center"/>
        <w:rPr>
          <w:rFonts w:hint="eastAsia"/>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jc w:val="center"/>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jc w:val="center"/>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jc w:val="center"/>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jc w:val="center"/>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湖南省食品安全审评认证中心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jc w:val="center"/>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default" w:ascii="宋体" w:hAnsi="宋体" w:eastAsia="宋体" w:cs="宋体"/>
                <w:kern w:val="0"/>
                <w:sz w:val="22"/>
                <w:lang w:val="en-US" w:eastAsia="zh-CN"/>
              </w:rPr>
              <w:t>474.94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rPr>
              <w:t>、社会保障和就业支出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val="en-US" w:eastAsia="zh-CN"/>
              </w:rPr>
              <w:t>八</w:t>
            </w:r>
            <w:r>
              <w:rPr>
                <w:rFonts w:hint="eastAsia" w:ascii="宋体" w:hAnsi="宋体" w:eastAsia="宋体" w:cs="宋体"/>
                <w:kern w:val="0"/>
                <w:sz w:val="22"/>
              </w:rPr>
              <w:t>、卫生健康支出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0"/>
                <w:szCs w:val="20"/>
              </w:rPr>
            </w:pPr>
            <w:r>
              <w:rPr>
                <w:rFonts w:hint="eastAsia" w:ascii="宋体" w:hAnsi="宋体" w:eastAsia="宋体" w:cs="宋体"/>
                <w:kern w:val="0"/>
                <w:sz w:val="22"/>
              </w:rPr>
              <w:t>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474.94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524.02</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default" w:ascii="宋体" w:hAnsi="宋体" w:eastAsia="宋体" w:cs="宋体"/>
                <w:kern w:val="0"/>
                <w:sz w:val="22"/>
                <w:lang w:val="en-US" w:eastAsia="zh-CN"/>
              </w:rPr>
              <w:t>78.33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29.25</w:t>
            </w:r>
          </w:p>
        </w:tc>
      </w:tr>
      <w:tr>
        <w:tblPrEx>
          <w:tblCellMar>
            <w:top w:w="0" w:type="dxa"/>
            <w:left w:w="108" w:type="dxa"/>
            <w:bottom w:w="0" w:type="dxa"/>
            <w:right w:w="108" w:type="dxa"/>
          </w:tblCellMar>
        </w:tblPrEx>
        <w:trPr>
          <w:trHeight w:val="340" w:hRule="atLeast"/>
          <w:jc w:val="center"/>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553.27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553.27</w:t>
            </w:r>
          </w:p>
        </w:tc>
      </w:tr>
      <w:tr>
        <w:tblPrEx>
          <w:tblCellMar>
            <w:top w:w="0" w:type="dxa"/>
            <w:left w:w="108" w:type="dxa"/>
            <w:bottom w:w="0" w:type="dxa"/>
            <w:right w:w="108" w:type="dxa"/>
          </w:tblCellMar>
        </w:tblPrEx>
        <w:trPr>
          <w:trHeight w:val="1020" w:hRule="atLeast"/>
          <w:jc w:val="center"/>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4906" w:type="pct"/>
        <w:jc w:val="center"/>
        <w:tblLayout w:type="fixed"/>
        <w:tblCellMar>
          <w:top w:w="0" w:type="dxa"/>
          <w:left w:w="0" w:type="dxa"/>
          <w:bottom w:w="0" w:type="dxa"/>
          <w:right w:w="0" w:type="dxa"/>
        </w:tblCellMar>
      </w:tblPr>
      <w:tblGrid>
        <w:gridCol w:w="1177"/>
        <w:gridCol w:w="235"/>
        <w:gridCol w:w="2723"/>
        <w:gridCol w:w="1673"/>
        <w:gridCol w:w="1673"/>
        <w:gridCol w:w="1418"/>
        <w:gridCol w:w="1200"/>
        <w:gridCol w:w="1200"/>
        <w:gridCol w:w="2368"/>
        <w:gridCol w:w="1473"/>
      </w:tblGrid>
      <w:tr>
        <w:tblPrEx>
          <w:tblCellMar>
            <w:top w:w="0" w:type="dxa"/>
            <w:left w:w="0" w:type="dxa"/>
            <w:bottom w:w="0" w:type="dxa"/>
            <w:right w:w="0" w:type="dxa"/>
          </w:tblCellMar>
        </w:tblPrEx>
        <w:trPr>
          <w:trHeight w:val="718" w:hRule="atLeast"/>
          <w:jc w:val="center"/>
        </w:trPr>
        <w:tc>
          <w:tcPr>
            <w:tcW w:w="5000" w:type="pct"/>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375" w:hRule="atLeast"/>
          <w:jc w:val="center"/>
        </w:trPr>
        <w:tc>
          <w:tcPr>
            <w:tcW w:w="388"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7"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9"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5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5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68"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9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9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8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8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375" w:hRule="atLeast"/>
          <w:jc w:val="center"/>
        </w:trPr>
        <w:tc>
          <w:tcPr>
            <w:tcW w:w="466" w:type="pct"/>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899"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val="en-US" w:eastAsia="zh-CN"/>
              </w:rPr>
              <w:t>湖南省食品安全审评认证中心</w:t>
            </w:r>
            <w:r>
              <w:rPr>
                <w:rFonts w:hint="eastAsia"/>
              </w:rPr>
              <w:t>　</w:t>
            </w:r>
          </w:p>
        </w:tc>
        <w:tc>
          <w:tcPr>
            <w:tcW w:w="55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5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68" w:type="pct"/>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39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9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82"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86" w:type="pct"/>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397" w:hRule="atLeast"/>
          <w:jc w:val="center"/>
        </w:trPr>
        <w:tc>
          <w:tcPr>
            <w:tcW w:w="1365" w:type="pct"/>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552"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55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468"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396"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396"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782"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486" w:type="pct"/>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397" w:hRule="atLeast"/>
          <w:jc w:val="center"/>
        </w:trPr>
        <w:tc>
          <w:tcPr>
            <w:tcW w:w="466" w:type="pct"/>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899" w:type="pct"/>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55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55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468"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9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9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48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708" w:hRule="atLeast"/>
          <w:jc w:val="center"/>
        </w:trPr>
        <w:tc>
          <w:tcPr>
            <w:tcW w:w="466" w:type="pct"/>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9"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55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55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468"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9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9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782"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486"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97" w:hRule="atLeast"/>
          <w:jc w:val="center"/>
        </w:trPr>
        <w:tc>
          <w:tcPr>
            <w:tcW w:w="1365" w:type="pct"/>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552"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552"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468"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396"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396"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782"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486"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397" w:hRule="atLeast"/>
          <w:jc w:val="center"/>
        </w:trPr>
        <w:tc>
          <w:tcPr>
            <w:tcW w:w="1365" w:type="pct"/>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474.94</w:t>
            </w:r>
          </w:p>
        </w:tc>
        <w:tc>
          <w:tcPr>
            <w:tcW w:w="16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474.94</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393.60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393.60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20138</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市场监督管理事务</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393.60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393.60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2013816</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食品安全监管</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100.00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100.00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2013850</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事业运行</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293.60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293.60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489"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740"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事业单位医疗</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22.38</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97" w:hRule="atLeast"/>
          <w:jc w:val="center"/>
        </w:trPr>
        <w:tc>
          <w:tcPr>
            <w:tcW w:w="466" w:type="pct"/>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899" w:type="pct"/>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住房公积金</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552"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30.00</w:t>
            </w:r>
          </w:p>
        </w:tc>
        <w:tc>
          <w:tcPr>
            <w:tcW w:w="468" w:type="pct"/>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3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0" w:type="dxa"/>
            <w:bottom w:w="0" w:type="dxa"/>
            <w:right w:w="0" w:type="dxa"/>
          </w:tblCellMar>
        </w:tblPrEx>
        <w:trPr>
          <w:trHeight w:val="375" w:hRule="atLeast"/>
          <w:jc w:val="center"/>
        </w:trPr>
        <w:tc>
          <w:tcPr>
            <w:tcW w:w="5000" w:type="pct"/>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p>
    <w:tbl>
      <w:tblPr>
        <w:tblStyle w:val="8"/>
        <w:tblW w:w="15521" w:type="dxa"/>
        <w:jc w:val="center"/>
        <w:tblLayout w:type="fixed"/>
        <w:tblCellMar>
          <w:top w:w="0" w:type="dxa"/>
          <w:left w:w="108" w:type="dxa"/>
          <w:bottom w:w="0" w:type="dxa"/>
          <w:right w:w="108" w:type="dxa"/>
        </w:tblCellMar>
      </w:tblPr>
      <w:tblGrid>
        <w:gridCol w:w="624"/>
        <w:gridCol w:w="1118"/>
        <w:gridCol w:w="240"/>
        <w:gridCol w:w="1613"/>
        <w:gridCol w:w="436"/>
        <w:gridCol w:w="843"/>
        <w:gridCol w:w="235"/>
        <w:gridCol w:w="496"/>
        <w:gridCol w:w="938"/>
        <w:gridCol w:w="1312"/>
        <w:gridCol w:w="665"/>
        <w:gridCol w:w="632"/>
        <w:gridCol w:w="16"/>
        <w:gridCol w:w="419"/>
        <w:gridCol w:w="915"/>
        <w:gridCol w:w="658"/>
        <w:gridCol w:w="1146"/>
        <w:gridCol w:w="248"/>
        <w:gridCol w:w="1394"/>
        <w:gridCol w:w="856"/>
        <w:gridCol w:w="717"/>
      </w:tblGrid>
      <w:tr>
        <w:tblPrEx>
          <w:tblCellMar>
            <w:top w:w="0" w:type="dxa"/>
            <w:left w:w="108" w:type="dxa"/>
            <w:bottom w:w="0" w:type="dxa"/>
            <w:right w:w="108" w:type="dxa"/>
          </w:tblCellMar>
        </w:tblPrEx>
        <w:trPr>
          <w:gridBefore w:val="1"/>
          <w:gridAfter w:val="1"/>
          <w:wBefore w:w="624" w:type="dxa"/>
          <w:wAfter w:w="717" w:type="dxa"/>
          <w:trHeight w:val="759" w:hRule="atLeast"/>
          <w:jc w:val="center"/>
        </w:trPr>
        <w:tc>
          <w:tcPr>
            <w:tcW w:w="14180"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Before w:val="1"/>
          <w:gridAfter w:val="1"/>
          <w:wBefore w:w="624" w:type="dxa"/>
          <w:wAfter w:w="717" w:type="dxa"/>
          <w:trHeight w:val="379" w:hRule="atLeast"/>
          <w:jc w:val="center"/>
        </w:trPr>
        <w:tc>
          <w:tcPr>
            <w:tcW w:w="11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6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9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Before w:val="1"/>
          <w:gridAfter w:val="1"/>
          <w:wBefore w:w="624" w:type="dxa"/>
          <w:wAfter w:w="717" w:type="dxa"/>
          <w:trHeight w:val="379" w:hRule="atLeast"/>
          <w:jc w:val="center"/>
        </w:trPr>
        <w:tc>
          <w:tcPr>
            <w:tcW w:w="1118"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9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湖南省食品安全审评认证中心</w:t>
            </w:r>
            <w:r>
              <w:rPr>
                <w:rFonts w:hint="eastAsia" w:ascii="宋体" w:hAnsi="宋体" w:eastAsia="宋体" w:cs="宋体"/>
                <w:kern w:val="0"/>
                <w:sz w:val="24"/>
                <w:szCs w:val="24"/>
              </w:rPr>
              <w:t>　</w:t>
            </w:r>
          </w:p>
        </w:tc>
        <w:tc>
          <w:tcPr>
            <w:tcW w:w="166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3"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3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0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9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425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6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13"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3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0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49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892"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9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425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6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1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1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3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0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4250"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524.02</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369.17</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20138</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市场监督管理事务</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2013810</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质量基础</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4.98</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4.98</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2013816</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食品安全监管</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149.88</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149.88</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2013850</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事业运行</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事业单位医疗</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358"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892"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住房公积金</w:t>
            </w:r>
          </w:p>
        </w:tc>
        <w:tc>
          <w:tcPr>
            <w:tcW w:w="166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24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gridBefore w:val="1"/>
          <w:gridAfter w:val="1"/>
          <w:wBefore w:w="624" w:type="dxa"/>
          <w:wAfter w:w="717" w:type="dxa"/>
          <w:trHeight w:val="391" w:hRule="atLeast"/>
          <w:jc w:val="center"/>
        </w:trPr>
        <w:tc>
          <w:tcPr>
            <w:tcW w:w="14180"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jc w:val="center"/>
        </w:trPr>
        <w:tc>
          <w:tcPr>
            <w:tcW w:w="3595"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jc w:val="center"/>
        </w:trPr>
        <w:tc>
          <w:tcPr>
            <w:tcW w:w="15521" w:type="dxa"/>
            <w:gridSpan w:val="2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jc w:val="center"/>
        </w:trPr>
        <w:tc>
          <w:tcPr>
            <w:tcW w:w="3595"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jc w:val="center"/>
        </w:trPr>
        <w:tc>
          <w:tcPr>
            <w:tcW w:w="359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湖南省食品安全审评认证中心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jc w:val="center"/>
        </w:trPr>
        <w:tc>
          <w:tcPr>
            <w:tcW w:w="5109"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4"/>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474.94</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w:t>
            </w:r>
            <w:r>
              <w:rPr>
                <w:rFonts w:hint="eastAsia" w:ascii="宋体" w:hAnsi="宋体" w:eastAsia="宋体" w:cs="宋体"/>
                <w:kern w:val="0"/>
                <w:sz w:val="24"/>
                <w:szCs w:val="24"/>
                <w:lang w:val="en-US" w:eastAsia="zh-CN"/>
              </w:rPr>
              <w:t>社会保障和就业支出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六、卫生健康支出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七、住房保障支出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val="en-US" w:eastAsia="zh-CN"/>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474.94</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524.02</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524.02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78.33</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29.25</w:t>
            </w: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29.25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78.33</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jc w:val="center"/>
        </w:trPr>
        <w:tc>
          <w:tcPr>
            <w:tcW w:w="3595"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553.27</w:t>
            </w:r>
          </w:p>
        </w:tc>
        <w:tc>
          <w:tcPr>
            <w:tcW w:w="341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553.27</w:t>
            </w:r>
          </w:p>
        </w:tc>
        <w:tc>
          <w:tcPr>
            <w:tcW w:w="139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553.27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jc w:val="center"/>
        </w:trPr>
        <w:tc>
          <w:tcPr>
            <w:tcW w:w="15521" w:type="dxa"/>
            <w:gridSpan w:val="2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13650" w:hanging="13650" w:hangingChars="650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湖南省食品安全审评认证中心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659" w:type="dxa"/>
        <w:jc w:val="center"/>
        <w:tblLayout w:type="autofit"/>
        <w:tblCellMar>
          <w:top w:w="0" w:type="dxa"/>
          <w:left w:w="108" w:type="dxa"/>
          <w:bottom w:w="0" w:type="dxa"/>
          <w:right w:w="108" w:type="dxa"/>
        </w:tblCellMar>
      </w:tblPr>
      <w:tblGrid>
        <w:gridCol w:w="1364"/>
        <w:gridCol w:w="3508"/>
        <w:gridCol w:w="3089"/>
        <w:gridCol w:w="3597"/>
        <w:gridCol w:w="3101"/>
      </w:tblGrid>
      <w:tr>
        <w:tblPrEx>
          <w:tblCellMar>
            <w:top w:w="0" w:type="dxa"/>
            <w:left w:w="108" w:type="dxa"/>
            <w:bottom w:w="0" w:type="dxa"/>
            <w:right w:w="108" w:type="dxa"/>
          </w:tblCellMar>
        </w:tblPrEx>
        <w:trPr>
          <w:trHeight w:val="378" w:hRule="atLeast"/>
          <w:jc w:val="center"/>
        </w:trPr>
        <w:tc>
          <w:tcPr>
            <w:tcW w:w="4872"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78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358" w:hRule="atLeast"/>
          <w:jc w:val="center"/>
        </w:trPr>
        <w:tc>
          <w:tcPr>
            <w:tcW w:w="136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59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10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58" w:hRule="atLeast"/>
          <w:jc w:val="center"/>
        </w:trPr>
        <w:tc>
          <w:tcPr>
            <w:tcW w:w="136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0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8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0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8" w:hRule="atLeast"/>
          <w:jc w:val="center"/>
        </w:trPr>
        <w:tc>
          <w:tcPr>
            <w:tcW w:w="1364"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0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8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10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8" w:hRule="atLeast"/>
          <w:jc w:val="center"/>
        </w:trPr>
        <w:tc>
          <w:tcPr>
            <w:tcW w:w="487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358" w:hRule="atLeast"/>
          <w:jc w:val="center"/>
        </w:trPr>
        <w:tc>
          <w:tcPr>
            <w:tcW w:w="487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524.02</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369.17</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市场监督管理事务</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445.30</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154.85</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2013810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质量基础</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4.98</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4.98</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2013816</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食品安全监管</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149.88</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149.88</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2013850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事业运行</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290.45</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695"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事业单位医疗</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8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1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58" w:hRule="atLeast"/>
          <w:jc w:val="center"/>
        </w:trPr>
        <w:tc>
          <w:tcPr>
            <w:tcW w:w="136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0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3089"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597"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3101"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78" w:hRule="atLeast"/>
          <w:jc w:val="center"/>
        </w:trPr>
        <w:tc>
          <w:tcPr>
            <w:tcW w:w="1465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15760" w:type="dxa"/>
        <w:tblInd w:w="0" w:type="dxa"/>
        <w:tblLayout w:type="fixed"/>
        <w:tblCellMar>
          <w:top w:w="0" w:type="dxa"/>
          <w:left w:w="108" w:type="dxa"/>
          <w:bottom w:w="0" w:type="dxa"/>
          <w:right w:w="108" w:type="dxa"/>
        </w:tblCellMar>
      </w:tblPr>
      <w:tblGrid>
        <w:gridCol w:w="1300"/>
        <w:gridCol w:w="3223"/>
        <w:gridCol w:w="883"/>
        <w:gridCol w:w="1312"/>
        <w:gridCol w:w="2279"/>
        <w:gridCol w:w="776"/>
        <w:gridCol w:w="1312"/>
        <w:gridCol w:w="3706"/>
        <w:gridCol w:w="969"/>
      </w:tblGrid>
      <w:tr>
        <w:tblPrEx>
          <w:tblCellMar>
            <w:top w:w="0" w:type="dxa"/>
            <w:left w:w="108" w:type="dxa"/>
            <w:bottom w:w="0" w:type="dxa"/>
            <w:right w:w="108" w:type="dxa"/>
          </w:tblCellMar>
        </w:tblPrEx>
        <w:trPr>
          <w:trHeight w:val="113" w:hRule="atLeast"/>
        </w:trPr>
        <w:tc>
          <w:tcPr>
            <w:tcW w:w="1576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湖南省食品安全审评认证中心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352.24</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16.78</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84.24</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11.97</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0.34</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58.55</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11.87</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105.74</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29.87</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21.02</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28.73</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0.19</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0.24</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7.05</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2.03</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4.16</w:t>
            </w:r>
          </w:p>
        </w:tc>
        <w:tc>
          <w:tcPr>
            <w:tcW w:w="13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2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88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352.24</w:t>
            </w:r>
          </w:p>
        </w:tc>
        <w:tc>
          <w:tcPr>
            <w:tcW w:w="938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6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16.93</w:t>
            </w:r>
          </w:p>
        </w:tc>
      </w:tr>
      <w:tr>
        <w:tblPrEx>
          <w:tblCellMar>
            <w:top w:w="0" w:type="dxa"/>
            <w:left w:w="108" w:type="dxa"/>
            <w:bottom w:w="0" w:type="dxa"/>
            <w:right w:w="108" w:type="dxa"/>
          </w:tblCellMar>
        </w:tblPrEx>
        <w:trPr>
          <w:trHeight w:val="284" w:hRule="exact"/>
        </w:trPr>
        <w:tc>
          <w:tcPr>
            <w:tcW w:w="15760"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070" w:hanging="14070" w:hangingChars="67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湖南省食品安全审评认证中心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0.60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2.63</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2.03</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0.60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湖南省食品安全审评认证中心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val="en-US"/>
        </w:rPr>
        <w:t xml:space="preserve">                                                                                                                              </w:t>
      </w: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000" w:type="dxa"/>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val="en-US" w:eastAsia="zh-CN"/>
        </w:rPr>
        <w:t>湖南省食品安全审评认证中心</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jc w:val="center"/>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jc w:val="center"/>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val="en-US" w:eastAsia="zh-CN"/>
              </w:rPr>
              <w:t>湖南省食品安全审评认证中心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jc w:val="center"/>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jc w:val="center"/>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ascii="Times New Roman" w:hAnsi="Times New Roman" w:eastAsia="仿宋_GB2312" w:cs="Times New Roman"/>
                <w:kern w:val="0"/>
                <w:szCs w:val="21"/>
              </w:rPr>
              <w:t>无</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rFonts w:hint="eastAsia"/>
          <w:sz w:val="72"/>
          <w:szCs w:val="72"/>
        </w:rPr>
      </w:pPr>
    </w:p>
    <w:p>
      <w:pPr>
        <w:pStyle w:val="13"/>
        <w:jc w:val="center"/>
        <w:rPr>
          <w:rFonts w:hint="eastAsia"/>
          <w:sz w:val="72"/>
          <w:szCs w:val="72"/>
        </w:rPr>
      </w:pPr>
      <w:r>
        <w:rPr>
          <w:rFonts w:hint="eastAsia"/>
          <w:sz w:val="72"/>
          <w:szCs w:val="72"/>
        </w:rPr>
        <w:t>第三部分</w:t>
      </w:r>
    </w:p>
    <w:p>
      <w:pPr>
        <w:pStyle w:val="13"/>
        <w:jc w:val="center"/>
        <w:rPr>
          <w:rFonts w:hint="eastAsia"/>
          <w:sz w:val="72"/>
          <w:szCs w:val="72"/>
        </w:rPr>
      </w:pPr>
    </w:p>
    <w:p>
      <w:pPr>
        <w:pStyle w:val="13"/>
        <w:jc w:val="center"/>
        <w:rPr>
          <w:rFonts w:hint="eastAsia"/>
          <w:sz w:val="72"/>
          <w:szCs w:val="72"/>
        </w:rPr>
      </w:pPr>
      <w:r>
        <w:rPr>
          <w:rFonts w:hint="eastAsia"/>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2021年度收、支总计553.27万元。与上年相比，减少</w:t>
      </w:r>
      <w:r>
        <w:rPr>
          <w:rFonts w:hint="eastAsia" w:asciiTheme="minorEastAsia" w:hAnsiTheme="minorEastAsia" w:eastAsiaTheme="minorEastAsia"/>
          <w:sz w:val="32"/>
          <w:szCs w:val="32"/>
          <w:lang w:val="en-US" w:eastAsia="zh-CN"/>
        </w:rPr>
        <w:t>106.66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16.10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一般公共预算财政拨款收入减少。</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2021年度收入合计474.94万元，其中：财政拨款收入474.94万元，占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2021年度支出合计524.02万元，其中：基本支出</w:t>
      </w:r>
      <w:r>
        <w:rPr>
          <w:rFonts w:hint="eastAsia" w:asciiTheme="minorEastAsia" w:hAnsiTheme="minorEastAsia" w:eastAsiaTheme="minorEastAsia"/>
          <w:sz w:val="32"/>
          <w:szCs w:val="32"/>
          <w:lang w:val="en-US" w:eastAsia="zh-CN"/>
        </w:rPr>
        <w:t>369.17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70.45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154.85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29.55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四、财政拨款收入支出决算总体情况说明</w:t>
      </w:r>
    </w:p>
    <w:p>
      <w:pPr>
        <w:pStyle w:val="13"/>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998.96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53.97</w:t>
      </w:r>
      <w:r>
        <w:rPr>
          <w:rFonts w:hint="eastAsia" w:asciiTheme="minorEastAsia" w:hAnsiTheme="minorEastAsia" w:eastAsiaTheme="minorEastAsia"/>
          <w:sz w:val="32"/>
          <w:szCs w:val="32"/>
        </w:rPr>
        <w:t>万元,减</w:t>
      </w:r>
      <w:r>
        <w:rPr>
          <w:rFonts w:hint="eastAsia" w:asciiTheme="minorEastAsia" w:hAnsiTheme="minorEastAsia" w:eastAsiaTheme="minorEastAsia"/>
          <w:sz w:val="32"/>
          <w:szCs w:val="32"/>
          <w:lang w:val="en-US" w:eastAsia="zh-CN"/>
        </w:rPr>
        <w:t>少5.13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一般公共预算财政拨款收入减少。</w:t>
      </w:r>
    </w:p>
    <w:p>
      <w:pPr>
        <w:pStyle w:val="13"/>
        <w:rPr>
          <w:rFonts w:hAnsi="黑体"/>
          <w:b/>
          <w:sz w:val="32"/>
          <w:szCs w:val="32"/>
        </w:rPr>
      </w:pPr>
      <w:r>
        <w:rPr>
          <w:rFonts w:hint="eastAsia" w:hAnsi="黑体"/>
          <w:b/>
          <w:sz w:val="32"/>
          <w:szCs w:val="32"/>
        </w:rPr>
        <w:t>五、一般公共预算财政拨款支出决算情况说明</w:t>
      </w:r>
    </w:p>
    <w:p>
      <w:pPr>
        <w:pStyle w:val="13"/>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524.02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21.86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4.35</w:t>
      </w:r>
      <w:r>
        <w:rPr>
          <w:rFonts w:hint="eastAsia" w:asciiTheme="minorEastAsia" w:hAnsiTheme="minorEastAsia" w:eastAsiaTheme="minorEastAsia"/>
          <w:sz w:val="32"/>
          <w:szCs w:val="32"/>
        </w:rPr>
        <w:t>%，主要是因为202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年受疫情影响，2021年工作正常开展的项目经费支出</w:t>
      </w:r>
      <w:r>
        <w:rPr>
          <w:rFonts w:hint="eastAsia" w:asciiTheme="minorEastAsia" w:hAnsiTheme="minorEastAsia" w:eastAsiaTheme="minorEastAsia"/>
          <w:sz w:val="32"/>
          <w:szCs w:val="32"/>
          <w:lang w:eastAsia="zh-CN"/>
        </w:rPr>
        <w:t>。</w:t>
      </w:r>
    </w:p>
    <w:p>
      <w:pPr>
        <w:pStyle w:val="13"/>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524.02</w:t>
      </w:r>
      <w:r>
        <w:rPr>
          <w:rFonts w:hint="eastAsia" w:asciiTheme="minorEastAsia" w:hAnsiTheme="minorEastAsia" w:eastAsiaTheme="minorEastAsia"/>
          <w:sz w:val="32"/>
          <w:szCs w:val="32"/>
        </w:rPr>
        <w:t>万元，主要用于以下方面：一般公共服务（类）支出445.3</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84.98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支出28.96万元，占</w:t>
      </w:r>
      <w:r>
        <w:rPr>
          <w:rFonts w:hint="eastAsia" w:asciiTheme="minorEastAsia" w:hAnsiTheme="minorEastAsia" w:eastAsiaTheme="minorEastAsia"/>
          <w:sz w:val="32"/>
          <w:szCs w:val="32"/>
          <w:lang w:val="en-US" w:eastAsia="zh-CN"/>
        </w:rPr>
        <w:t>5.53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卫生健康支出21.02万元，占4.01%；住房保障支出28.73万元，占5.48%。</w:t>
      </w:r>
    </w:p>
    <w:p>
      <w:pPr>
        <w:pStyle w:val="13"/>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553.34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524.02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94.70</w:t>
      </w:r>
      <w:r>
        <w:rPr>
          <w:rFonts w:hint="eastAsia" w:asciiTheme="minorEastAsia" w:hAnsiTheme="minorEastAsia" w:eastAsiaTheme="minorEastAsia"/>
          <w:sz w:val="32"/>
          <w:szCs w:val="32"/>
        </w:rPr>
        <w:t>%，其中：</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1、一般公共服务支出（类）市场监督管理事务（款）质量基础（项）。</w:t>
      </w:r>
    </w:p>
    <w:p>
      <w:pPr>
        <w:pStyle w:val="13"/>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99.60</w:t>
      </w:r>
      <w:r>
        <w:rPr>
          <w:rFonts w:hint="eastAsia" w:asciiTheme="minorEastAsia" w:hAnsiTheme="minorEastAsia" w:eastAsiaTheme="minorEastAsia"/>
          <w:sz w:val="32"/>
          <w:szCs w:val="32"/>
        </w:rPr>
        <w:t>%，决算数与年初预算数</w:t>
      </w:r>
      <w:r>
        <w:rPr>
          <w:rFonts w:hint="eastAsia" w:asciiTheme="minorEastAsia" w:hAnsiTheme="minorEastAsia" w:eastAsiaTheme="minorEastAsia"/>
          <w:sz w:val="32"/>
          <w:szCs w:val="32"/>
          <w:lang w:val="en-US" w:eastAsia="zh-CN"/>
        </w:rPr>
        <w:t>基本</w:t>
      </w:r>
      <w:r>
        <w:rPr>
          <w:rFonts w:hint="eastAsia" w:asciiTheme="minorEastAsia" w:hAnsiTheme="minorEastAsia" w:eastAsiaTheme="minorEastAsia"/>
          <w:sz w:val="32"/>
          <w:szCs w:val="32"/>
        </w:rPr>
        <w:t>持平。</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2、一般公共服务支出（类）市场监督管理事务（款）食品安全监管（项）。</w:t>
      </w:r>
    </w:p>
    <w:p>
      <w:pPr>
        <w:pStyle w:val="13"/>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149.88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86.44</w:t>
      </w:r>
      <w:r>
        <w:rPr>
          <w:rFonts w:hint="eastAsia" w:asciiTheme="minorEastAsia" w:hAnsiTheme="minorEastAsia" w:eastAsiaTheme="minorEastAsia"/>
          <w:sz w:val="32"/>
          <w:szCs w:val="32"/>
        </w:rPr>
        <w:t>%，决算数小于年初预算数的主要原因是202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年度新冠疫情的原因，影响专项业务开展。</w:t>
      </w:r>
    </w:p>
    <w:p>
      <w:pPr>
        <w:pStyle w:val="13"/>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一般公共服务支出（类）市场监督管理事务（款）事业运行（项）。</w:t>
      </w:r>
    </w:p>
    <w:p>
      <w:pPr>
        <w:pStyle w:val="13"/>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290.45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98.93</w:t>
      </w:r>
      <w:r>
        <w:rPr>
          <w:rFonts w:hint="eastAsia" w:asciiTheme="minorEastAsia" w:hAnsiTheme="minorEastAsia" w:eastAsiaTheme="minorEastAsia"/>
          <w:sz w:val="32"/>
          <w:szCs w:val="32"/>
        </w:rPr>
        <w:t>%，决算数与年初预算数</w:t>
      </w:r>
      <w:r>
        <w:rPr>
          <w:rFonts w:hint="eastAsia" w:asciiTheme="minorEastAsia" w:hAnsiTheme="minorEastAsia" w:eastAsiaTheme="minorEastAsia"/>
          <w:sz w:val="32"/>
          <w:szCs w:val="32"/>
          <w:lang w:val="en-US" w:eastAsia="zh-CN"/>
        </w:rPr>
        <w:t>基本</w:t>
      </w:r>
      <w:r>
        <w:rPr>
          <w:rFonts w:hint="eastAsia" w:asciiTheme="minorEastAsia" w:hAnsiTheme="minorEastAsia" w:eastAsiaTheme="minorEastAsia"/>
          <w:sz w:val="32"/>
          <w:szCs w:val="32"/>
        </w:rPr>
        <w:t>持平</w:t>
      </w:r>
      <w:r>
        <w:rPr>
          <w:rFonts w:hint="eastAsia" w:asciiTheme="minorEastAsia" w:hAnsiTheme="minorEastAsia" w:eastAsiaTheme="minorEastAsia"/>
          <w:sz w:val="32"/>
          <w:szCs w:val="32"/>
          <w:lang w:val="en-US" w:eastAsia="zh-CN"/>
        </w:rPr>
        <w:t>。</w:t>
      </w:r>
    </w:p>
    <w:p>
      <w:pPr>
        <w:pStyle w:val="13"/>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lang w:val="en-US" w:eastAsia="zh-CN"/>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lang w:val="en-US" w:eastAsia="zh-CN"/>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28.96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决算数与年初预算数持平</w:t>
      </w:r>
      <w:r>
        <w:rPr>
          <w:rFonts w:hint="eastAsia" w:asciiTheme="minorEastAsia" w:hAnsiTheme="minorEastAsia" w:eastAsiaTheme="minorEastAsia"/>
          <w:sz w:val="32"/>
          <w:szCs w:val="32"/>
          <w:lang w:eastAsia="zh-CN"/>
        </w:rPr>
        <w:t>。</w:t>
      </w:r>
    </w:p>
    <w:p>
      <w:pPr>
        <w:pStyle w:val="13"/>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lang w:val="en-US" w:eastAsia="zh-CN"/>
        </w:rPr>
        <w:t>款</w:t>
      </w:r>
      <w:r>
        <w:rPr>
          <w:rFonts w:hint="eastAsia" w:asciiTheme="minorEastAsia" w:hAnsiTheme="minorEastAsia" w:eastAsiaTheme="minorEastAsia"/>
          <w:sz w:val="32"/>
          <w:szCs w:val="32"/>
          <w:lang w:eastAsia="zh-CN"/>
        </w:rPr>
        <w:t>）事业单位医疗（</w:t>
      </w:r>
      <w:r>
        <w:rPr>
          <w:rFonts w:hint="eastAsia" w:asciiTheme="minorEastAsia" w:hAnsiTheme="minorEastAsia" w:eastAsiaTheme="minorEastAsia"/>
          <w:sz w:val="32"/>
          <w:szCs w:val="32"/>
          <w:lang w:val="en-US" w:eastAsia="zh-CN"/>
        </w:rPr>
        <w:t>项</w:t>
      </w:r>
      <w:r>
        <w:rPr>
          <w:rFonts w:hint="eastAsia" w:asciiTheme="minorEastAsia" w:hAnsiTheme="minorEastAsia" w:eastAsiaTheme="minorEastAsia"/>
          <w:sz w:val="32"/>
          <w:szCs w:val="32"/>
          <w:lang w:eastAsia="zh-CN"/>
        </w:rPr>
        <w:t>）。</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93.93</w:t>
      </w:r>
      <w:r>
        <w:rPr>
          <w:rFonts w:hint="eastAsia" w:asciiTheme="minorEastAsia" w:hAnsiTheme="minorEastAsia" w:eastAsiaTheme="minorEastAsia"/>
          <w:sz w:val="32"/>
          <w:szCs w:val="32"/>
        </w:rPr>
        <w:t>%，决算数小于年初预算数的主要原因是单位2人机构改革调入召回中心</w:t>
      </w:r>
      <w:r>
        <w:rPr>
          <w:rFonts w:hint="eastAsia" w:asciiTheme="minorEastAsia" w:hAnsiTheme="minorEastAsia" w:eastAsiaTheme="minorEastAsia"/>
          <w:sz w:val="32"/>
          <w:szCs w:val="32"/>
          <w:lang w:eastAsia="zh-CN"/>
        </w:rPr>
        <w:t>。</w:t>
      </w:r>
    </w:p>
    <w:p>
      <w:pPr>
        <w:pStyle w:val="13"/>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）住房改革支出（</w:t>
      </w:r>
      <w:r>
        <w:rPr>
          <w:rFonts w:hint="eastAsia" w:asciiTheme="minorEastAsia" w:hAnsiTheme="minorEastAsia" w:eastAsiaTheme="minorEastAsia"/>
          <w:sz w:val="32"/>
          <w:szCs w:val="32"/>
          <w:lang w:val="en-US" w:eastAsia="zh-CN"/>
        </w:rPr>
        <w:t>款</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lang w:val="en-US" w:eastAsia="zh-CN"/>
        </w:rPr>
        <w:t>项</w:t>
      </w:r>
      <w:r>
        <w:rPr>
          <w:rFonts w:hint="eastAsia" w:asciiTheme="minorEastAsia" w:hAnsiTheme="minorEastAsia" w:eastAsiaTheme="minorEastAsia"/>
          <w:sz w:val="32"/>
          <w:szCs w:val="32"/>
          <w:lang w:eastAsia="zh-CN"/>
        </w:rPr>
        <w:t>）。</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95.77</w:t>
      </w:r>
      <w:r>
        <w:rPr>
          <w:rFonts w:hint="eastAsia" w:asciiTheme="minorEastAsia" w:hAnsiTheme="minorEastAsia" w:eastAsiaTheme="minorEastAsia"/>
          <w:sz w:val="32"/>
          <w:szCs w:val="32"/>
        </w:rPr>
        <w:t>%，决算数小于年初预算数的主要原因是单位2人机构改革调入召回中心</w:t>
      </w:r>
      <w:r>
        <w:rPr>
          <w:rFonts w:hint="eastAsia" w:asciiTheme="minorEastAsia" w:hAnsiTheme="minorEastAsia" w:eastAsiaTheme="minorEastAsia"/>
          <w:sz w:val="32"/>
          <w:szCs w:val="32"/>
          <w:lang w:eastAsia="zh-CN"/>
        </w:rPr>
        <w:t>。</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369.17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352.24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95.41</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绩效工资、机关事业单位基本养老保险缴费、职工基本医疗保险缴费、住房公积金、其他工资福利支出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16.93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4.59</w:t>
      </w:r>
      <w:r>
        <w:rPr>
          <w:rFonts w:hint="eastAsia" w:asciiTheme="minorEastAsia" w:hAnsiTheme="minorEastAsia" w:eastAsiaTheme="minorEastAsia"/>
          <w:sz w:val="32"/>
          <w:szCs w:val="32"/>
        </w:rPr>
        <w:t>%，主要包括办公费、印刷费、咨询费、邮电费</w:t>
      </w:r>
      <w:r>
        <w:rPr>
          <w:rFonts w:hint="eastAsia" w:asciiTheme="minorEastAsia" w:hAnsiTheme="minorEastAsia" w:eastAsiaTheme="minorEastAsia"/>
          <w:sz w:val="32"/>
          <w:szCs w:val="32"/>
          <w:lang w:eastAsia="zh-CN"/>
        </w:rPr>
        <w:t>、维修（护）费、公务接待费、工会经费、福利费、公务用车运行维护费、其他交通费用、其他商品和服务支出、办公设备购置</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85.95</w:t>
      </w:r>
      <w:r>
        <w:rPr>
          <w:rFonts w:hint="eastAsia" w:asciiTheme="minorEastAsia" w:hAnsiTheme="minorEastAsia" w:eastAsiaTheme="minorEastAsia"/>
          <w:sz w:val="32"/>
          <w:szCs w:val="32"/>
        </w:rPr>
        <w:t>%，其中：</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color w:val="E46C0A" w:themeColor="accent6" w:themeShade="BF"/>
          <w:sz w:val="32"/>
          <w:szCs w:val="32"/>
          <w:lang w:val="en-US" w:eastAsia="zh-CN"/>
        </w:rPr>
        <w:t>由于预算数为0，无法计算百分比</w:t>
      </w:r>
      <w:r>
        <w:rPr>
          <w:rFonts w:hint="eastAsia" w:asciiTheme="minorEastAsia" w:hAnsiTheme="minorEastAsia" w:eastAsiaTheme="minorEastAsia"/>
          <w:sz w:val="32"/>
          <w:szCs w:val="32"/>
          <w:lang w:eastAsia="zh-CN"/>
        </w:rPr>
        <w:t>。</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3"/>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color w:val="E46C0A" w:themeColor="accent6" w:themeShade="BF"/>
          <w:sz w:val="32"/>
          <w:szCs w:val="32"/>
          <w:lang w:val="en-US" w:eastAsia="zh-CN"/>
        </w:rPr>
        <w:t>由于预算数为0，无法计算百分比</w:t>
      </w:r>
      <w:r>
        <w:rPr>
          <w:rFonts w:hint="eastAsia" w:asciiTheme="minorEastAsia" w:hAnsiTheme="minorEastAsia" w:eastAsiaTheme="minorEastAsia"/>
          <w:color w:val="E46C0A" w:themeColor="accent6" w:themeShade="BF"/>
          <w:sz w:val="32"/>
          <w:szCs w:val="32"/>
        </w:rPr>
        <w:t>。</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元，支出决算为</w:t>
      </w:r>
      <w:r>
        <w:rPr>
          <w:rFonts w:hint="eastAsia" w:asciiTheme="minorEastAsia" w:hAnsiTheme="minorEastAsia" w:eastAsiaTheme="minorEastAsia"/>
          <w:sz w:val="32"/>
          <w:szCs w:val="32"/>
          <w:lang w:val="en-US" w:eastAsia="zh-CN"/>
        </w:rPr>
        <w:t>2.03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67.67</w:t>
      </w:r>
      <w:r>
        <w:rPr>
          <w:rFonts w:hint="eastAsia" w:asciiTheme="minorEastAsia" w:hAnsiTheme="minorEastAsia" w:eastAsiaTheme="minorEastAsia"/>
          <w:sz w:val="32"/>
          <w:szCs w:val="32"/>
        </w:rPr>
        <w:t>%，决算数小于预算数的主要原因是市内公务活动开展减少，业务开展使用租赁公司租车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0.51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20.07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减少的主要原因是市内公务活动开展减少，业务开展使用租赁公司租车。</w:t>
      </w:r>
    </w:p>
    <w:p>
      <w:pPr>
        <w:pStyle w:val="13"/>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22.81</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由于决算数为0，无法计算百分比</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2.03万</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77.19</w:t>
      </w:r>
      <w:r>
        <w:rPr>
          <w:rFonts w:hint="eastAsia" w:asciiTheme="minorEastAsia" w:hAnsiTheme="minorEastAsia" w:eastAsiaTheme="minorEastAsia"/>
          <w:sz w:val="32"/>
          <w:szCs w:val="32"/>
        </w:rPr>
        <w:t>%。其中：</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3"/>
        <w:ind w:firstLine="800" w:firstLineChars="25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2、公务接待费支出决算为0.6万元，全年共接待来访团组11个、来宾72人次，主要是食品安全检查相关业务往来发生的接待支出。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2.03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E46C0A" w:themeColor="accent6" w:themeShade="BF"/>
          <w:sz w:val="32"/>
          <w:szCs w:val="32"/>
          <w:lang w:val="en-US" w:eastAsia="zh-CN"/>
        </w:rPr>
        <w:t>2021年公务用车购置数为0辆，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2.03</w:t>
      </w:r>
      <w:r>
        <w:rPr>
          <w:rFonts w:hint="eastAsia" w:asciiTheme="minorEastAsia" w:hAnsiTheme="minorEastAsia"/>
          <w:sz w:val="32"/>
          <w:szCs w:val="32"/>
        </w:rPr>
        <w:t>万元，主要是公务车辆保险、加油、过路费支出，截止202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年12月31日，我单位开支财政拨款的公务用车保有量为1辆。</w:t>
      </w:r>
    </w:p>
    <w:p>
      <w:pPr>
        <w:pStyle w:val="13"/>
        <w:rPr>
          <w:rFonts w:hAnsi="黑体"/>
          <w:b/>
          <w:sz w:val="32"/>
          <w:szCs w:val="32"/>
        </w:rPr>
      </w:pPr>
      <w:r>
        <w:rPr>
          <w:rFonts w:hint="eastAsia" w:hAnsi="黑体"/>
          <w:b/>
          <w:sz w:val="32"/>
          <w:szCs w:val="32"/>
        </w:rPr>
        <w:t>八、政府性基金预算收入支出决算情况</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湖南省食品安全审评认证中心2021年没有政府性基金收入，也没有使用政府性基金安排的支出。</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湖南省食品安全审评认证中心2021年度机关运行经费支出16.93万元，比上年决算数减少4.67万元，降低21.61%。主要原因是2021年受疫情影响，2021年工作正常开展的公用经费支出。</w:t>
      </w:r>
    </w:p>
    <w:p>
      <w:pPr>
        <w:pStyle w:val="13"/>
        <w:rPr>
          <w:rFonts w:hAnsi="黑体"/>
          <w:b/>
          <w:sz w:val="32"/>
          <w:szCs w:val="32"/>
        </w:rPr>
      </w:pPr>
      <w:r>
        <w:rPr>
          <w:rFonts w:hint="eastAsia" w:hAnsi="黑体"/>
          <w:b/>
          <w:sz w:val="32"/>
          <w:szCs w:val="32"/>
        </w:rPr>
        <w:t>十、一般性支出情况说明</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0.47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省保健食品生产企业负责人暨体系检查情况通报会、湘酒市场现状分析暨产业发展与示范研究项目验收会议、学校食堂建设和食品安全规范会</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人，内容为食品安全标准及检查相关会议；开支培训费</w:t>
      </w:r>
      <w:r>
        <w:rPr>
          <w:rFonts w:hint="eastAsia" w:asciiTheme="minorEastAsia" w:hAnsiTheme="minorEastAsia" w:eastAsiaTheme="minorEastAsia"/>
          <w:sz w:val="32"/>
          <w:szCs w:val="32"/>
          <w:lang w:val="en-US" w:eastAsia="zh-CN"/>
        </w:rPr>
        <w:t>32.95</w:t>
      </w:r>
      <w:r>
        <w:rPr>
          <w:rFonts w:hint="eastAsia" w:asciiTheme="minorEastAsia" w:hAnsiTheme="minorEastAsia" w:eastAsiaTheme="minorEastAsia"/>
          <w:sz w:val="32"/>
          <w:szCs w:val="32"/>
        </w:rPr>
        <w:t>万元，用于开展湖南省特殊食品及食盐业务、全省食品生产许可现场核查业务培训，人数</w:t>
      </w:r>
      <w:r>
        <w:rPr>
          <w:rFonts w:hint="eastAsia" w:asciiTheme="minorEastAsia" w:hAnsiTheme="minorEastAsia" w:eastAsiaTheme="minorEastAsia"/>
          <w:sz w:val="32"/>
          <w:szCs w:val="32"/>
          <w:lang w:val="en-US" w:eastAsia="zh-CN"/>
        </w:rPr>
        <w:t>334</w:t>
      </w:r>
      <w:r>
        <w:rPr>
          <w:rFonts w:hint="eastAsia" w:asciiTheme="minorEastAsia" w:hAnsiTheme="minorEastAsia" w:eastAsiaTheme="minorEastAsia"/>
          <w:sz w:val="32"/>
          <w:szCs w:val="32"/>
        </w:rPr>
        <w:t>人，内容为食品生产许可现场核查及特殊食品业务检查人员培训</w:t>
      </w:r>
      <w:r>
        <w:rPr>
          <w:rFonts w:hint="eastAsia" w:asciiTheme="minorEastAsia" w:hAnsiTheme="minorEastAsia" w:eastAsiaTheme="minorEastAsia"/>
          <w:sz w:val="32"/>
          <w:szCs w:val="32"/>
          <w:lang w:eastAsia="zh-CN"/>
        </w:rPr>
        <w:t>。</w:t>
      </w:r>
    </w:p>
    <w:p>
      <w:pPr>
        <w:pStyle w:val="13"/>
        <w:rPr>
          <w:rFonts w:hAnsi="黑体"/>
          <w:b/>
          <w:sz w:val="32"/>
          <w:szCs w:val="32"/>
        </w:rPr>
      </w:pPr>
      <w:r>
        <w:rPr>
          <w:rFonts w:hint="eastAsia" w:hAnsi="黑体"/>
          <w:b/>
          <w:sz w:val="32"/>
          <w:szCs w:val="32"/>
        </w:rPr>
        <w:t>十一、政府采购支出说明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十二、国有资产占用情况说明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3"/>
        <w:rPr>
          <w:rFonts w:hAnsi="黑体"/>
          <w:b/>
          <w:sz w:val="32"/>
          <w:szCs w:val="32"/>
        </w:rPr>
      </w:pPr>
      <w:r>
        <w:rPr>
          <w:rFonts w:hint="eastAsia" w:hAnsi="黑体"/>
          <w:b/>
          <w:sz w:val="32"/>
          <w:szCs w:val="32"/>
        </w:rPr>
        <w:t>十三、2021年度预算绩效情况说明</w:t>
      </w:r>
    </w:p>
    <w:p>
      <w:pPr>
        <w:pStyle w:val="13"/>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本部门预算绩效管理开展情况、绩效目标和绩效评价报告等，详见附件《</w:t>
      </w:r>
      <w:r>
        <w:rPr>
          <w:rFonts w:hint="eastAsia" w:asciiTheme="minorEastAsia" w:hAnsiTheme="minorEastAsia" w:eastAsiaTheme="minorEastAsia"/>
          <w:sz w:val="32"/>
          <w:szCs w:val="32"/>
          <w:lang w:val="en-US" w:eastAsia="zh-CN"/>
        </w:rPr>
        <w:t>2021年度湖南省食品安全审评认证中心单位整体支出绩效自评报告》。 </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both"/>
        <w:rPr>
          <w:rFonts w:hint="eastAsia"/>
          <w:sz w:val="72"/>
          <w:szCs w:val="72"/>
        </w:rPr>
      </w:pPr>
    </w:p>
    <w:p>
      <w:pPr>
        <w:pStyle w:val="13"/>
        <w:jc w:val="center"/>
        <w:rPr>
          <w:rFonts w:hint="eastAsia"/>
          <w:sz w:val="72"/>
          <w:szCs w:val="72"/>
        </w:rPr>
      </w:pPr>
    </w:p>
    <w:p>
      <w:pPr>
        <w:pStyle w:val="13"/>
        <w:jc w:val="center"/>
        <w:rPr>
          <w:rFonts w:hint="eastAsia"/>
          <w:sz w:val="72"/>
          <w:szCs w:val="72"/>
        </w:rPr>
      </w:pPr>
      <w:r>
        <w:rPr>
          <w:rFonts w:hint="eastAsia"/>
          <w:sz w:val="72"/>
          <w:szCs w:val="72"/>
        </w:rPr>
        <w:t>第四部分</w:t>
      </w:r>
    </w:p>
    <w:p>
      <w:pPr>
        <w:pStyle w:val="13"/>
        <w:jc w:val="center"/>
        <w:rPr>
          <w:rFonts w:hint="eastAsia"/>
          <w:sz w:val="72"/>
          <w:szCs w:val="72"/>
        </w:rPr>
      </w:pPr>
    </w:p>
    <w:p>
      <w:pPr>
        <w:pStyle w:val="13"/>
        <w:jc w:val="center"/>
        <w:rPr>
          <w:rFonts w:hint="eastAsia"/>
          <w:sz w:val="72"/>
          <w:szCs w:val="72"/>
        </w:rPr>
      </w:pPr>
      <w:r>
        <w:rPr>
          <w:rFonts w:hint="eastAsia"/>
          <w:sz w:val="72"/>
          <w:szCs w:val="72"/>
        </w:rPr>
        <w:t>名词解释</w:t>
      </w:r>
    </w:p>
    <w:p>
      <w:pPr>
        <w:widowControl/>
        <w:jc w:val="left"/>
        <w:rPr>
          <w:rFonts w:hint="eastAsia" w:cs="黑体" w:asciiTheme="minorEastAsia" w:hAnsiTheme="minorEastAsia"/>
          <w:color w:val="000000"/>
          <w:kern w:val="0"/>
          <w:sz w:val="32"/>
          <w:szCs w:val="32"/>
        </w:rPr>
      </w:pPr>
      <w:r>
        <w:rPr>
          <w:rFonts w:ascii="黑体" w:eastAsia="黑体" w:cs="黑体"/>
          <w:color w:val="000000"/>
          <w:kern w:val="0"/>
          <w:sz w:val="70"/>
          <w:szCs w:val="70"/>
        </w:rPr>
        <w:br w:type="page"/>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财政拨款收入：指中央财政当年拨付的资金。 </w:t>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其他收入：指除“财政拨款收入”、“事业收入”、“经营收入”等以外的收入。主要是按规定动用的售房收入、存款利息收入等。</w:t>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基本支出：指为保障机构正常运转、完成日常工作任务而发生的人员支出和公用支出。</w:t>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桥过路费、保险费、安全奖励费用等支出；公务接待费反映单位按规定开支的各类公务接待（含外宾接待）支出。 </w:t>
      </w:r>
    </w:p>
    <w:p>
      <w:pPr>
        <w:numPr>
          <w:ilvl w:val="0"/>
          <w:numId w:val="3"/>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机关运行经费：为保障行政单位（含参照公务员法管理</w:t>
      </w:r>
      <w:bookmarkStart w:id="3" w:name="_GoBack"/>
      <w:bookmarkEnd w:id="3"/>
      <w:r>
        <w:rPr>
          <w:rFonts w:hint="eastAsia" w:cs="黑体" w:asciiTheme="minorEastAsia" w:hAnsiTheme="minorEastAsia"/>
          <w:color w:val="000000"/>
          <w:kern w:val="0"/>
          <w:sz w:val="32"/>
          <w:szCs w:val="32"/>
        </w:rPr>
        <w:t>的事业单位）运行用于购买货物和服务的各项资金，包括办公费、印刷费、邮电费、差旅费、会议费、福利费、日常维修费、专用材料费、一般设备购置费、水电费、取暖费、公务用车运行维护费以及其他费用。</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rFonts w:hint="eastAsia"/>
          <w:sz w:val="72"/>
          <w:szCs w:val="72"/>
        </w:rPr>
      </w:pPr>
    </w:p>
    <w:p>
      <w:pPr>
        <w:pStyle w:val="13"/>
        <w:jc w:val="center"/>
        <w:rPr>
          <w:rFonts w:hint="eastAsia"/>
          <w:sz w:val="72"/>
          <w:szCs w:val="72"/>
        </w:rPr>
      </w:pPr>
    </w:p>
    <w:p>
      <w:pPr>
        <w:pStyle w:val="13"/>
        <w:jc w:val="center"/>
        <w:rPr>
          <w:rFonts w:hint="eastAsia"/>
          <w:sz w:val="72"/>
          <w:szCs w:val="72"/>
        </w:rPr>
      </w:pPr>
      <w:r>
        <w:rPr>
          <w:rFonts w:hint="eastAsia"/>
          <w:sz w:val="72"/>
          <w:szCs w:val="72"/>
        </w:rPr>
        <w:t>第五部分</w:t>
      </w:r>
    </w:p>
    <w:p>
      <w:pPr>
        <w:pStyle w:val="13"/>
        <w:jc w:val="center"/>
        <w:rPr>
          <w:rFonts w:hint="eastAsia"/>
          <w:sz w:val="72"/>
          <w:szCs w:val="72"/>
        </w:rPr>
      </w:pPr>
    </w:p>
    <w:p>
      <w:pPr>
        <w:pStyle w:val="13"/>
        <w:jc w:val="center"/>
        <w:rPr>
          <w:rFonts w:hint="eastAsia"/>
          <w:sz w:val="72"/>
          <w:szCs w:val="72"/>
        </w:rPr>
      </w:pPr>
      <w:r>
        <w:rPr>
          <w:rFonts w:hint="eastAsia"/>
          <w:sz w:val="72"/>
          <w:szCs w:val="72"/>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600" w:lineRule="exact"/>
        <w:rPr>
          <w:rFonts w:hint="eastAsia" w:eastAsia="黑体"/>
          <w:kern w:val="0"/>
          <w:sz w:val="32"/>
          <w:szCs w:val="32"/>
        </w:rPr>
      </w:pPr>
      <w:r>
        <w:rPr>
          <w:rFonts w:eastAsia="黑体"/>
          <w:kern w:val="0"/>
          <w:sz w:val="32"/>
          <w:szCs w:val="32"/>
        </w:rPr>
        <w:t>附件</w:t>
      </w:r>
      <w:r>
        <w:rPr>
          <w:rFonts w:hint="eastAsia" w:eastAsia="黑体"/>
          <w:kern w:val="0"/>
          <w:sz w:val="32"/>
          <w:szCs w:val="32"/>
        </w:rPr>
        <w:t>1</w:t>
      </w:r>
    </w:p>
    <w:p>
      <w:pPr>
        <w:spacing w:line="600" w:lineRule="exact"/>
        <w:rPr>
          <w:rFonts w:eastAsia="黑体"/>
          <w:kern w:val="0"/>
          <w:sz w:val="32"/>
          <w:szCs w:val="32"/>
        </w:rPr>
      </w:pPr>
    </w:p>
    <w:p>
      <w:pPr>
        <w:spacing w:line="600" w:lineRule="exact"/>
        <w:rPr>
          <w:rFonts w:eastAsia="黑体"/>
          <w:kern w:val="0"/>
          <w:sz w:val="32"/>
          <w:szCs w:val="32"/>
        </w:rPr>
      </w:pPr>
    </w:p>
    <w:p>
      <w:pPr>
        <w:jc w:val="center"/>
        <w:rPr>
          <w:rFonts w:hint="eastAsia" w:ascii="方正小标宋_GBK" w:eastAsia="方正小标宋_GBK"/>
          <w:sz w:val="44"/>
          <w:szCs w:val="44"/>
          <w:lang w:eastAsia="zh-CN"/>
        </w:rPr>
      </w:pPr>
      <w:r>
        <w:rPr>
          <w:rFonts w:hint="eastAsia" w:ascii="方正小标宋_GBK" w:eastAsia="方正小标宋_GBK"/>
          <w:sz w:val="44"/>
          <w:szCs w:val="44"/>
          <w:lang w:val="en-US" w:eastAsia="zh-CN"/>
        </w:rPr>
        <w:t>2021</w:t>
      </w:r>
      <w:r>
        <w:rPr>
          <w:rFonts w:hint="eastAsia" w:ascii="方正小标宋_GBK" w:eastAsia="方正小标宋_GBK"/>
          <w:sz w:val="44"/>
          <w:szCs w:val="44"/>
        </w:rPr>
        <w:t>年度</w:t>
      </w:r>
      <w:r>
        <w:rPr>
          <w:rFonts w:hint="eastAsia" w:ascii="方正小标宋_GBK" w:eastAsia="方正小标宋_GBK"/>
          <w:sz w:val="44"/>
          <w:szCs w:val="44"/>
          <w:lang w:eastAsia="zh-CN"/>
        </w:rPr>
        <w:t>湖南省食品安全审评认证中心</w:t>
      </w:r>
    </w:p>
    <w:p>
      <w:pPr>
        <w:jc w:val="center"/>
        <w:rPr>
          <w:rFonts w:ascii="方正小标宋_GBK" w:eastAsia="方正小标宋_GBK"/>
          <w:sz w:val="44"/>
          <w:szCs w:val="44"/>
        </w:rPr>
      </w:pPr>
      <w:r>
        <w:rPr>
          <w:rFonts w:hint="eastAsia" w:ascii="方正小标宋_GBK" w:eastAsia="方正小标宋_GBK"/>
          <w:sz w:val="44"/>
          <w:szCs w:val="44"/>
        </w:rPr>
        <w:t>单位整体支出绩效自评报告</w:t>
      </w:r>
    </w:p>
    <w:p>
      <w:pPr>
        <w:jc w:val="center"/>
        <w:rPr>
          <w:rFonts w:ascii="方正小标宋_GBK" w:eastAsia="方正小标宋_GBK"/>
          <w:b/>
          <w:sz w:val="52"/>
          <w:szCs w:val="52"/>
        </w:rPr>
      </w:pPr>
    </w:p>
    <w:p>
      <w:pPr>
        <w:jc w:val="center"/>
        <w:rPr>
          <w:rFonts w:eastAsia="楷体_GB2312"/>
          <w:b/>
          <w:sz w:val="32"/>
          <w:szCs w:val="32"/>
        </w:rPr>
      </w:pPr>
    </w:p>
    <w:p>
      <w:pPr>
        <w:jc w:val="center"/>
        <w:rPr>
          <w:rFonts w:eastAsia="楷体_GB2312"/>
          <w:b/>
          <w:sz w:val="32"/>
          <w:szCs w:val="32"/>
        </w:rPr>
      </w:pPr>
    </w:p>
    <w:p>
      <w:pPr>
        <w:jc w:val="center"/>
        <w:rPr>
          <w:rFonts w:eastAsia="楷体_GB2312"/>
          <w:b/>
          <w:sz w:val="32"/>
          <w:szCs w:val="32"/>
        </w:rPr>
      </w:pPr>
    </w:p>
    <w:p>
      <w:pPr>
        <w:jc w:val="center"/>
        <w:rPr>
          <w:rFonts w:eastAsia="楷体_GB2312"/>
          <w:b/>
          <w:sz w:val="32"/>
          <w:szCs w:val="32"/>
        </w:rPr>
      </w:pPr>
    </w:p>
    <w:p>
      <w:pPr>
        <w:jc w:val="center"/>
        <w:rPr>
          <w:rFonts w:eastAsia="黑体"/>
          <w:sz w:val="32"/>
          <w:szCs w:val="32"/>
        </w:rPr>
      </w:pPr>
    </w:p>
    <w:p>
      <w:pP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spacing w:line="600" w:lineRule="exact"/>
        <w:ind w:firstLine="640" w:firstLineChars="200"/>
        <w:jc w:val="center"/>
        <w:rPr>
          <w:rFonts w:hint="default" w:ascii="方正仿宋_GBK" w:eastAsia="方正仿宋_GBK"/>
          <w:sz w:val="32"/>
          <w:szCs w:val="32"/>
          <w:u w:val="single"/>
          <w:lang w:val="en-US" w:eastAsia="zh-CN"/>
        </w:rPr>
      </w:pPr>
      <w:r>
        <w:rPr>
          <w:rFonts w:hint="eastAsia" w:ascii="方正仿宋_GBK" w:eastAsia="方正仿宋_GBK"/>
          <w:sz w:val="32"/>
          <w:szCs w:val="32"/>
        </w:rPr>
        <w:t>单位名称：</w:t>
      </w:r>
      <w:r>
        <w:rPr>
          <w:rFonts w:hint="eastAsia" w:ascii="方正仿宋_GBK" w:eastAsia="方正仿宋_GBK"/>
          <w:sz w:val="32"/>
          <w:szCs w:val="32"/>
          <w:u w:val="single"/>
          <w:lang w:val="en-US" w:eastAsia="zh-CN"/>
        </w:rPr>
        <w:t>湖南省食品安全审评认证中心</w:t>
      </w:r>
    </w:p>
    <w:p>
      <w:pPr>
        <w:spacing w:line="600" w:lineRule="exact"/>
        <w:ind w:firstLine="640" w:firstLineChars="200"/>
        <w:jc w:val="center"/>
        <w:rPr>
          <w:rFonts w:hint="eastAsia" w:ascii="方正仿宋_GBK" w:eastAsia="方正仿宋_GBK"/>
          <w:sz w:val="32"/>
          <w:szCs w:val="32"/>
        </w:rPr>
      </w:pPr>
      <w:r>
        <w:rPr>
          <w:rFonts w:hint="eastAsia" w:ascii="方正仿宋_GBK" w:eastAsia="方正仿宋_GBK"/>
          <w:sz w:val="32"/>
          <w:szCs w:val="32"/>
          <w:lang w:val="en-US" w:eastAsia="zh-CN"/>
        </w:rPr>
        <w:t>2022</w:t>
      </w:r>
      <w:r>
        <w:rPr>
          <w:rFonts w:hint="eastAsia" w:ascii="方正仿宋_GBK" w:eastAsia="方正仿宋_GBK"/>
          <w:sz w:val="32"/>
          <w:szCs w:val="32"/>
        </w:rPr>
        <w:t xml:space="preserve">年 </w:t>
      </w:r>
      <w:r>
        <w:rPr>
          <w:rFonts w:hint="eastAsia" w:ascii="方正仿宋_GBK" w:eastAsia="方正仿宋_GBK"/>
          <w:sz w:val="32"/>
          <w:szCs w:val="32"/>
          <w:lang w:val="en-US" w:eastAsia="zh-CN"/>
        </w:rPr>
        <w:t>4</w:t>
      </w:r>
      <w:r>
        <w:rPr>
          <w:rFonts w:hint="eastAsia" w:ascii="方正仿宋_GBK" w:eastAsia="方正仿宋_GBK"/>
          <w:sz w:val="32"/>
          <w:szCs w:val="32"/>
        </w:rPr>
        <w:t xml:space="preserve"> 月 </w:t>
      </w:r>
      <w:r>
        <w:rPr>
          <w:rFonts w:hint="eastAsia" w:ascii="方正仿宋_GBK" w:eastAsia="方正仿宋_GBK"/>
          <w:sz w:val="32"/>
          <w:szCs w:val="32"/>
          <w:lang w:val="en-US" w:eastAsia="zh-CN"/>
        </w:rPr>
        <w:t>28</w:t>
      </w:r>
      <w:r>
        <w:rPr>
          <w:rFonts w:hint="eastAsia" w:ascii="方正仿宋_GBK" w:eastAsia="方正仿宋_GBK"/>
          <w:sz w:val="32"/>
          <w:szCs w:val="32"/>
        </w:rPr>
        <w:t>日</w:t>
      </w:r>
    </w:p>
    <w:p>
      <w:pPr>
        <w:jc w:val="center"/>
        <w:rPr>
          <w:rFonts w:hint="eastAsia" w:ascii="方正仿宋_GBK" w:eastAsia="方正仿宋_GBK"/>
          <w:sz w:val="32"/>
          <w:szCs w:val="32"/>
        </w:rPr>
      </w:pPr>
    </w:p>
    <w:p>
      <w:pPr>
        <w:jc w:val="center"/>
        <w:rPr>
          <w:rFonts w:hint="eastAsia" w:ascii="方正仿宋_GBK" w:eastAsia="方正仿宋_GBK"/>
          <w:sz w:val="32"/>
          <w:szCs w:val="32"/>
        </w:rPr>
      </w:pPr>
      <w:r>
        <w:rPr>
          <w:rFonts w:hint="eastAsia" w:ascii="方正仿宋_GBK" w:eastAsia="方正仿宋_GBK"/>
          <w:sz w:val="32"/>
          <w:szCs w:val="32"/>
        </w:rPr>
        <w:t>（此页为封面）</w:t>
      </w:r>
    </w:p>
    <w:p>
      <w:pPr>
        <w:numPr>
          <w:ilvl w:val="0"/>
          <w:numId w:val="4"/>
        </w:num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单位基本情况</w:t>
      </w:r>
    </w:p>
    <w:p>
      <w:pPr>
        <w:spacing w:line="560" w:lineRule="exact"/>
        <w:ind w:firstLine="64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（一）单位概况</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湖南省食品安全审评认证中心</w:t>
      </w:r>
      <w:r>
        <w:rPr>
          <w:rFonts w:hint="eastAsia" w:ascii="方正仿宋_GBK" w:hAnsi="方正仿宋_GBK" w:eastAsia="方正仿宋_GBK" w:cs="方正仿宋_GBK"/>
          <w:sz w:val="32"/>
          <w:szCs w:val="32"/>
          <w:lang w:eastAsia="zh-CN"/>
        </w:rPr>
        <w:t>是湖南省市场监管局直属正处级事业单位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核定编制</w:t>
      </w:r>
      <w:r>
        <w:rPr>
          <w:rFonts w:hint="eastAsia" w:ascii="方正仿宋_GBK" w:hAnsi="方正仿宋_GBK" w:eastAsia="方正仿宋_GBK" w:cs="方正仿宋_GBK"/>
          <w:sz w:val="32"/>
          <w:szCs w:val="32"/>
          <w:lang w:val="en-US" w:eastAsia="zh-CN"/>
        </w:rPr>
        <w:t>19名，现有在编人员16名，领导职数1正2 副，下设5 个科室。主要职能是：</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食品</w:t>
      </w:r>
      <w:r>
        <w:rPr>
          <w:rFonts w:hint="eastAsia" w:ascii="方正仿宋_GBK" w:hAnsi="方正仿宋_GBK" w:eastAsia="方正仿宋_GBK" w:cs="方正仿宋_GBK"/>
          <w:sz w:val="32"/>
          <w:szCs w:val="32"/>
          <w:lang w:eastAsia="zh-CN"/>
        </w:rPr>
        <w:t>、特殊食品</w:t>
      </w:r>
      <w:r>
        <w:rPr>
          <w:rFonts w:hint="eastAsia" w:ascii="方正仿宋_GBK" w:hAnsi="方正仿宋_GBK" w:eastAsia="方正仿宋_GBK" w:cs="方正仿宋_GBK"/>
          <w:sz w:val="32"/>
          <w:szCs w:val="32"/>
        </w:rPr>
        <w:t>生产</w:t>
      </w:r>
      <w:r>
        <w:rPr>
          <w:rFonts w:hint="eastAsia" w:ascii="方正仿宋_GBK" w:hAnsi="方正仿宋_GBK" w:eastAsia="方正仿宋_GBK" w:cs="方正仿宋_GBK"/>
          <w:sz w:val="32"/>
          <w:szCs w:val="32"/>
          <w:lang w:eastAsia="zh-CN"/>
        </w:rPr>
        <w:t>企业</w:t>
      </w:r>
      <w:r>
        <w:rPr>
          <w:rFonts w:hint="eastAsia" w:ascii="方正仿宋_GBK" w:hAnsi="方正仿宋_GBK" w:eastAsia="方正仿宋_GBK" w:cs="方正仿宋_GBK"/>
          <w:sz w:val="32"/>
          <w:szCs w:val="32"/>
        </w:rPr>
        <w:t>许可现场核查</w:t>
      </w:r>
      <w:r>
        <w:rPr>
          <w:rFonts w:hint="eastAsia" w:ascii="方正仿宋_GBK" w:hAnsi="方正仿宋_GBK" w:eastAsia="方正仿宋_GBK" w:cs="方正仿宋_GBK"/>
          <w:sz w:val="32"/>
          <w:szCs w:val="32"/>
          <w:lang w:eastAsia="zh-CN"/>
        </w:rPr>
        <w:t>、受省局委托开展食品、特殊食品专项检查、</w:t>
      </w:r>
      <w:r>
        <w:rPr>
          <w:rFonts w:hint="eastAsia" w:ascii="方正仿宋_GBK" w:hAnsi="方正仿宋_GBK" w:eastAsia="方正仿宋_GBK" w:cs="方正仿宋_GBK"/>
          <w:sz w:val="32"/>
          <w:szCs w:val="32"/>
        </w:rPr>
        <w:t>飞行检</w:t>
      </w:r>
      <w:r>
        <w:rPr>
          <w:rFonts w:hint="eastAsia" w:ascii="方正仿宋_GBK" w:hAnsi="方正仿宋_GBK" w:eastAsia="方正仿宋_GBK" w:cs="方正仿宋_GBK"/>
          <w:sz w:val="32"/>
          <w:szCs w:val="32"/>
          <w:lang w:eastAsia="zh-CN"/>
        </w:rPr>
        <w:t>查、体系检查等各类监督检查工作。</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省</w:t>
      </w:r>
      <w:r>
        <w:rPr>
          <w:rFonts w:hint="eastAsia" w:ascii="方正仿宋_GBK" w:hAnsi="方正仿宋_GBK" w:eastAsia="方正仿宋_GBK" w:cs="方正仿宋_GBK"/>
          <w:sz w:val="32"/>
          <w:szCs w:val="32"/>
        </w:rPr>
        <w:t>局食品</w:t>
      </w:r>
      <w:r>
        <w:rPr>
          <w:rFonts w:hint="eastAsia" w:ascii="方正仿宋_GBK" w:hAnsi="方正仿宋_GBK" w:eastAsia="方正仿宋_GBK" w:cs="方正仿宋_GBK"/>
          <w:sz w:val="32"/>
          <w:szCs w:val="32"/>
          <w:lang w:eastAsia="zh-CN"/>
        </w:rPr>
        <w:t>安全</w:t>
      </w:r>
      <w:r>
        <w:rPr>
          <w:rFonts w:hint="eastAsia" w:ascii="方正仿宋_GBK" w:hAnsi="方正仿宋_GBK" w:eastAsia="方正仿宋_GBK" w:cs="方正仿宋_GBK"/>
          <w:sz w:val="32"/>
          <w:szCs w:val="32"/>
        </w:rPr>
        <w:t>监管工作的重要撑</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外加劳务派遣工作人员2 名，</w:t>
      </w:r>
      <w:r>
        <w:rPr>
          <w:rFonts w:hint="eastAsia" w:ascii="方正仿宋_GBK" w:hAnsi="方正仿宋_GBK" w:eastAsia="方正仿宋_GBK" w:cs="方正仿宋_GBK"/>
          <w:sz w:val="32"/>
          <w:szCs w:val="32"/>
          <w:lang w:eastAsia="zh-CN"/>
        </w:rPr>
        <w:t>我</w:t>
      </w:r>
      <w:r>
        <w:rPr>
          <w:rFonts w:hint="eastAsia"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lang w:eastAsia="zh-CN"/>
        </w:rPr>
        <w:t>共</w:t>
      </w:r>
      <w:r>
        <w:rPr>
          <w:rFonts w:hint="eastAsia" w:ascii="方正仿宋_GBK" w:hAnsi="方正仿宋_GBK" w:eastAsia="方正仿宋_GBK" w:cs="方正仿宋_GBK"/>
          <w:sz w:val="32"/>
          <w:szCs w:val="32"/>
        </w:rPr>
        <w:t>管理科和审评认证一科、二科、三科等3个业务科。</w:t>
      </w:r>
    </w:p>
    <w:p>
      <w:pPr>
        <w:spacing w:line="560" w:lineRule="exact"/>
        <w:ind w:firstLine="64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）部门资金基本情况</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年收入预算总额</w:t>
      </w:r>
      <w:r>
        <w:rPr>
          <w:rFonts w:hint="eastAsia" w:ascii="方正仿宋_GBK" w:hAnsi="方正仿宋_GBK" w:eastAsia="方正仿宋_GBK" w:cs="方正仿宋_GBK"/>
          <w:sz w:val="32"/>
          <w:szCs w:val="32"/>
          <w:lang w:val="en-US" w:eastAsia="zh-CN"/>
        </w:rPr>
        <w:t>474.94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2020年结转和结余78.33万元，共计553.27万元。</w:t>
      </w:r>
      <w:r>
        <w:rPr>
          <w:rFonts w:hint="eastAsia" w:ascii="方正仿宋_GBK" w:hAnsi="方正仿宋_GBK" w:eastAsia="方正仿宋_GBK" w:cs="方正仿宋_GBK"/>
          <w:sz w:val="32"/>
          <w:szCs w:val="32"/>
        </w:rPr>
        <w:t>其中公共财政</w:t>
      </w:r>
      <w:r>
        <w:rPr>
          <w:rFonts w:hint="eastAsia" w:ascii="方正仿宋_GBK" w:hAnsi="方正仿宋_GBK" w:eastAsia="方正仿宋_GBK" w:cs="方正仿宋_GBK"/>
          <w:sz w:val="32"/>
          <w:szCs w:val="32"/>
          <w:lang w:eastAsia="zh-CN"/>
        </w:rPr>
        <w:t>拨款</w:t>
      </w:r>
      <w:r>
        <w:rPr>
          <w:rFonts w:hint="eastAsia" w:ascii="方正仿宋_GBK" w:hAnsi="方正仿宋_GBK" w:eastAsia="方正仿宋_GBK" w:cs="方正仿宋_GBK"/>
          <w:sz w:val="32"/>
          <w:szCs w:val="32"/>
        </w:rPr>
        <w:t>55</w:t>
      </w:r>
      <w:r>
        <w:rPr>
          <w:rFonts w:hint="eastAsia" w:ascii="方正仿宋_GBK" w:hAnsi="方正仿宋_GBK" w:eastAsia="方正仿宋_GBK" w:cs="方正仿宋_GBK"/>
          <w:sz w:val="32"/>
          <w:szCs w:val="32"/>
          <w:lang w:val="en-US" w:eastAsia="zh-CN"/>
        </w:rPr>
        <w:t>3.27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年支出预算总额</w:t>
      </w:r>
      <w:r>
        <w:rPr>
          <w:rFonts w:hint="eastAsia" w:ascii="方正仿宋_GBK" w:hAnsi="方正仿宋_GBK" w:eastAsia="方正仿宋_GBK" w:cs="方正仿宋_GBK"/>
          <w:sz w:val="32"/>
          <w:szCs w:val="32"/>
          <w:lang w:val="en-US" w:eastAsia="zh-CN"/>
        </w:rPr>
        <w:t>524.02</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执行率94.71%。</w:t>
      </w:r>
      <w:r>
        <w:rPr>
          <w:rFonts w:hint="eastAsia"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369.17</w:t>
      </w:r>
      <w:r>
        <w:rPr>
          <w:rFonts w:hint="eastAsia" w:ascii="方正仿宋_GBK" w:hAnsi="方正仿宋_GBK" w:eastAsia="方正仿宋_GBK" w:cs="方正仿宋_GBK"/>
          <w:sz w:val="32"/>
          <w:szCs w:val="32"/>
        </w:rPr>
        <w:t>万元（人员经费支出</w:t>
      </w:r>
      <w:r>
        <w:rPr>
          <w:rFonts w:hint="eastAsia" w:ascii="方正仿宋_GBK" w:hAnsi="方正仿宋_GBK" w:eastAsia="方正仿宋_GBK" w:cs="方正仿宋_GBK"/>
          <w:sz w:val="32"/>
          <w:szCs w:val="32"/>
          <w:lang w:val="en-US" w:eastAsia="zh-CN"/>
        </w:rPr>
        <w:t>352.24</w:t>
      </w:r>
      <w:r>
        <w:rPr>
          <w:rFonts w:hint="eastAsia" w:ascii="方正仿宋_GBK" w:hAnsi="方正仿宋_GBK" w:eastAsia="方正仿宋_GBK" w:cs="方正仿宋_GBK"/>
          <w:sz w:val="32"/>
          <w:szCs w:val="32"/>
        </w:rPr>
        <w:t>万元，日常公用经费</w:t>
      </w:r>
      <w:r>
        <w:rPr>
          <w:rFonts w:hint="eastAsia" w:ascii="方正仿宋_GBK" w:hAnsi="方正仿宋_GBK" w:eastAsia="方正仿宋_GBK" w:cs="方正仿宋_GBK"/>
          <w:sz w:val="32"/>
          <w:szCs w:val="32"/>
          <w:lang w:val="en-US" w:eastAsia="zh-CN"/>
        </w:rPr>
        <w:t>16.93</w:t>
      </w:r>
      <w:r>
        <w:rPr>
          <w:rFonts w:hint="eastAsia" w:ascii="方正仿宋_GBK" w:hAnsi="方正仿宋_GBK" w:eastAsia="方正仿宋_GBK" w:cs="方正仿宋_GBK"/>
          <w:sz w:val="32"/>
          <w:szCs w:val="32"/>
        </w:rPr>
        <w:t>万元），项目支出</w:t>
      </w:r>
      <w:r>
        <w:rPr>
          <w:rFonts w:hint="eastAsia" w:ascii="方正仿宋_GBK" w:hAnsi="方正仿宋_GBK" w:eastAsia="方正仿宋_GBK" w:cs="方正仿宋_GBK"/>
          <w:sz w:val="32"/>
          <w:szCs w:val="32"/>
          <w:lang w:val="en-US" w:eastAsia="zh-CN"/>
        </w:rPr>
        <w:t>154.85</w:t>
      </w:r>
      <w:r>
        <w:rPr>
          <w:rFonts w:hint="eastAsia" w:ascii="方正仿宋_GBK" w:hAnsi="方正仿宋_GBK" w:eastAsia="方正仿宋_GBK" w:cs="方正仿宋_GBK"/>
          <w:sz w:val="32"/>
          <w:szCs w:val="32"/>
        </w:rPr>
        <w:t>万元。</w:t>
      </w:r>
    </w:p>
    <w:p>
      <w:pPr>
        <w:spacing w:line="560" w:lineRule="exact"/>
        <w:ind w:firstLine="640"/>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rPr>
        <w:t>（</w:t>
      </w:r>
      <w:r>
        <w:rPr>
          <w:rFonts w:hint="eastAsia" w:ascii="方正仿宋_GBK" w:hAnsi="方正仿宋_GBK" w:eastAsia="方正仿宋_GBK" w:cs="方正仿宋_GBK"/>
          <w:b/>
          <w:bCs/>
          <w:sz w:val="32"/>
          <w:szCs w:val="32"/>
          <w:highlight w:val="none"/>
          <w:lang w:eastAsia="zh-CN"/>
        </w:rPr>
        <w:t>三</w:t>
      </w:r>
      <w:r>
        <w:rPr>
          <w:rFonts w:hint="eastAsia" w:ascii="方正仿宋_GBK" w:hAnsi="方正仿宋_GBK" w:eastAsia="方正仿宋_GBK" w:cs="方正仿宋_GBK"/>
          <w:b/>
          <w:bCs/>
          <w:sz w:val="32"/>
          <w:szCs w:val="32"/>
          <w:highlight w:val="none"/>
        </w:rPr>
        <w:t>）部门整体支出绩效目标</w:t>
      </w:r>
    </w:p>
    <w:p>
      <w:pPr>
        <w:spacing w:line="560" w:lineRule="exact"/>
        <w:ind w:firstLine="640"/>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根据上级部门下达的工作任务及本中心的发展规划，使用预算资金达到产出和效果，</w:t>
      </w:r>
      <w:r>
        <w:rPr>
          <w:rFonts w:hint="eastAsia" w:ascii="方正仿宋_GBK" w:hAnsi="方正仿宋_GBK" w:eastAsia="方正仿宋_GBK" w:cs="方正仿宋_GBK"/>
          <w:sz w:val="32"/>
          <w:szCs w:val="32"/>
          <w:highlight w:val="none"/>
          <w:lang w:val="en-US" w:eastAsia="zh-CN"/>
        </w:rPr>
        <w:t>确保资金使用严格按照预算执行。</w:t>
      </w:r>
    </w:p>
    <w:p>
      <w:pPr>
        <w:widowControl/>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二、一般公共预算支出情况</w:t>
      </w:r>
    </w:p>
    <w:p>
      <w:pPr>
        <w:spacing w:line="560" w:lineRule="exact"/>
        <w:ind w:firstLine="64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（一）基本支出情况</w:t>
      </w:r>
    </w:p>
    <w:p>
      <w:pPr>
        <w:spacing w:line="560" w:lineRule="exact"/>
        <w:ind w:firstLine="64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年年初预算批复的基本支出为</w:t>
      </w:r>
      <w:r>
        <w:rPr>
          <w:rFonts w:hint="eastAsia" w:ascii="方正仿宋_GBK" w:hAnsi="方正仿宋_GBK" w:eastAsia="方正仿宋_GBK" w:cs="方正仿宋_GBK"/>
          <w:sz w:val="32"/>
          <w:szCs w:val="32"/>
          <w:lang w:val="en-US" w:eastAsia="zh-CN"/>
        </w:rPr>
        <w:t>374.94</w:t>
      </w:r>
      <w:r>
        <w:rPr>
          <w:rFonts w:hint="eastAsia" w:ascii="方正仿宋_GBK" w:hAnsi="方正仿宋_GBK" w:eastAsia="方正仿宋_GBK" w:cs="方正仿宋_GBK"/>
          <w:sz w:val="32"/>
          <w:szCs w:val="32"/>
        </w:rPr>
        <w:t>万元，其中按经济科目分类：工资福利支出</w:t>
      </w:r>
      <w:r>
        <w:rPr>
          <w:rFonts w:hint="eastAsia" w:ascii="方正仿宋_GBK" w:hAnsi="方正仿宋_GBK" w:eastAsia="方正仿宋_GBK" w:cs="方正仿宋_GBK"/>
          <w:sz w:val="32"/>
          <w:szCs w:val="32"/>
          <w:lang w:val="en-US" w:eastAsia="zh-CN"/>
        </w:rPr>
        <w:t>355.59</w:t>
      </w:r>
      <w:r>
        <w:rPr>
          <w:rFonts w:hint="eastAsia" w:ascii="方正仿宋_GBK" w:hAnsi="方正仿宋_GBK" w:eastAsia="方正仿宋_GBK" w:cs="方正仿宋_GBK"/>
          <w:sz w:val="32"/>
          <w:szCs w:val="32"/>
        </w:rPr>
        <w:t>万元，一般商品和服务支出</w:t>
      </w:r>
      <w:r>
        <w:rPr>
          <w:rFonts w:hint="eastAsia" w:ascii="方正仿宋_GBK" w:hAnsi="方正仿宋_GBK" w:eastAsia="方正仿宋_GBK" w:cs="方正仿宋_GBK"/>
          <w:sz w:val="32"/>
          <w:szCs w:val="32"/>
          <w:lang w:val="en-US" w:eastAsia="zh-CN"/>
        </w:rPr>
        <w:t>19.35</w:t>
      </w:r>
      <w:r>
        <w:rPr>
          <w:rFonts w:hint="eastAsia" w:ascii="方正仿宋_GBK" w:hAnsi="方正仿宋_GBK" w:eastAsia="方正仿宋_GBK" w:cs="方正仿宋_GBK"/>
          <w:sz w:val="32"/>
          <w:szCs w:val="32"/>
        </w:rPr>
        <w:t xml:space="preserve">万元。 </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年决算基本支出</w:t>
      </w:r>
      <w:r>
        <w:rPr>
          <w:rFonts w:hint="eastAsia" w:ascii="方正仿宋_GBK" w:hAnsi="方正仿宋_GBK" w:eastAsia="方正仿宋_GBK" w:cs="方正仿宋_GBK"/>
          <w:sz w:val="32"/>
          <w:szCs w:val="32"/>
          <w:lang w:val="en-US" w:eastAsia="zh-CN"/>
        </w:rPr>
        <w:t>369.17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执行率98.46%。</w:t>
      </w:r>
      <w:r>
        <w:rPr>
          <w:rFonts w:hint="eastAsia" w:ascii="方正仿宋_GBK" w:hAnsi="方正仿宋_GBK" w:eastAsia="方正仿宋_GBK" w:cs="方正仿宋_GBK"/>
          <w:sz w:val="32"/>
          <w:szCs w:val="32"/>
        </w:rPr>
        <w:t>其中按经济科目分：工资福利支出</w:t>
      </w:r>
      <w:r>
        <w:rPr>
          <w:rFonts w:hint="eastAsia" w:ascii="方正仿宋_GBK" w:hAnsi="方正仿宋_GBK" w:eastAsia="方正仿宋_GBK" w:cs="方正仿宋_GBK"/>
          <w:sz w:val="32"/>
          <w:szCs w:val="32"/>
          <w:lang w:val="en-US" w:eastAsia="zh-CN"/>
        </w:rPr>
        <w:t>355.24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执行率99.9%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商品和服务支出</w:t>
      </w:r>
      <w:r>
        <w:rPr>
          <w:rFonts w:hint="eastAsia" w:ascii="方正仿宋_GBK" w:hAnsi="方正仿宋_GBK" w:eastAsia="方正仿宋_GBK" w:cs="方正仿宋_GBK"/>
          <w:sz w:val="32"/>
          <w:szCs w:val="32"/>
          <w:lang w:val="en-US" w:eastAsia="zh-CN"/>
        </w:rPr>
        <w:t>16.93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执行率87.49%</w:t>
      </w:r>
      <w:r>
        <w:rPr>
          <w:rFonts w:hint="eastAsia" w:ascii="方正仿宋_GBK" w:hAnsi="方正仿宋_GBK" w:eastAsia="方正仿宋_GBK" w:cs="方正仿宋_GBK"/>
          <w:sz w:val="32"/>
          <w:szCs w:val="32"/>
        </w:rPr>
        <w:t xml:space="preserve">。 </w:t>
      </w:r>
    </w:p>
    <w:p>
      <w:pPr>
        <w:spacing w:line="560" w:lineRule="exact"/>
        <w:ind w:firstLine="640"/>
        <w:rPr>
          <w:rFonts w:hint="eastAsia" w:ascii="宋体" w:hAnsi="宋体" w:eastAsia="宋体" w:cs="宋体"/>
          <w:sz w:val="30"/>
          <w:szCs w:val="30"/>
        </w:rPr>
      </w:pPr>
      <w:r>
        <w:rPr>
          <w:rFonts w:hint="eastAsia" w:ascii="方正仿宋_GBK" w:hAnsi="方正仿宋_GBK" w:eastAsia="方正仿宋_GBK" w:cs="方正仿宋_GBK"/>
          <w:sz w:val="32"/>
          <w:szCs w:val="32"/>
        </w:rPr>
        <w:t>基本支出主要是保障我中心正常运转、完成日常性工作而产生的各项支出，包括基本工资、绩效工资、奖金、津贴补贴、职工基本医疗保险缴费、其他工资福利支出、公务接待费、工会经费、福利费、公务用车运行维护费、机关事业单位基本养老保险缴费、住房公积金。</w:t>
      </w:r>
    </w:p>
    <w:p>
      <w:pPr>
        <w:widowControl/>
        <w:numPr>
          <w:ilvl w:val="0"/>
          <w:numId w:val="5"/>
        </w:numPr>
        <w:spacing w:line="60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项目支出情况</w:t>
      </w:r>
    </w:p>
    <w:p>
      <w:pPr>
        <w:spacing w:line="560" w:lineRule="exact"/>
        <w:ind w:firstLine="64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highlight w:val="none"/>
        </w:rPr>
        <w:t>我</w:t>
      </w:r>
      <w:r>
        <w:rPr>
          <w:rFonts w:hint="eastAsia" w:ascii="方正仿宋_GBK" w:hAnsi="方正仿宋_GBK" w:eastAsia="方正仿宋_GBK" w:cs="方正仿宋_GBK"/>
          <w:sz w:val="32"/>
          <w:szCs w:val="32"/>
          <w:highlight w:val="none"/>
          <w:lang w:val="en-US" w:eastAsia="zh-CN"/>
        </w:rPr>
        <w:t>中心项目</w:t>
      </w:r>
      <w:r>
        <w:rPr>
          <w:rFonts w:hint="eastAsia" w:ascii="方正仿宋_GBK" w:hAnsi="方正仿宋_GBK" w:eastAsia="方正仿宋_GBK" w:cs="方正仿宋_GBK"/>
          <w:sz w:val="32"/>
          <w:szCs w:val="32"/>
        </w:rPr>
        <w:t>资金预算</w:t>
      </w:r>
      <w:r>
        <w:rPr>
          <w:rFonts w:hint="eastAsia" w:ascii="方正仿宋_GBK" w:hAnsi="方正仿宋_GBK" w:eastAsia="方正仿宋_GBK" w:cs="方正仿宋_GBK"/>
          <w:sz w:val="32"/>
          <w:szCs w:val="32"/>
          <w:lang w:val="en-US" w:eastAsia="zh-CN"/>
        </w:rPr>
        <w:t>收入100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2020年结转和结余78.33万元，共计178.33万元，</w:t>
      </w:r>
      <w:r>
        <w:rPr>
          <w:rFonts w:hint="eastAsia" w:ascii="方正仿宋_GBK" w:hAnsi="方正仿宋_GBK" w:eastAsia="方正仿宋_GBK" w:cs="方正仿宋_GBK"/>
          <w:sz w:val="32"/>
          <w:szCs w:val="32"/>
          <w:lang w:eastAsia="zh-CN"/>
        </w:rPr>
        <w:t>明细如下：</w:t>
      </w:r>
    </w:p>
    <w:p>
      <w:pPr>
        <w:spacing w:line="560" w:lineRule="exact"/>
        <w:ind w:firstLine="64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1、2021年项目预算收入支出情况</w:t>
      </w:r>
    </w:p>
    <w:p>
      <w:pPr>
        <w:spacing w:line="560" w:lineRule="exact"/>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食品安全监管项目预算收入100万元，实际支出89.08万元，项目预算执行率为89.08%。其中支出主要包括用于项目开支所需的办公费、差旅费、劳务费、培训费、其他交通费用、其他商品和服务支出、租赁费等费用。</w:t>
      </w:r>
    </w:p>
    <w:p>
      <w:pPr>
        <w:spacing w:line="560" w:lineRule="exact"/>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2、2020年结转和结余项目资金支出情况</w:t>
      </w:r>
    </w:p>
    <w:p>
      <w:pPr>
        <w:spacing w:line="560" w:lineRule="exact"/>
        <w:ind w:firstLine="64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2020年结转和结余项目资金共计78.33万元，实际支出65.77万元，执行率为83.97%。其中支出主要包括办公费、差旅费、会议费、劳务费、培训费、其他商品和服务支出、维修（护）费、委托业务费、印刷费、咨询费、租赁费等费用。</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在项目管理上，</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 xml:space="preserve">年我中心以强化内控管理为抓手，逐步对项目经费建立管理有制度、支出有预算、绩效有评价的规范化的全方位管理模式。 </w:t>
      </w:r>
    </w:p>
    <w:p>
      <w:pPr>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年项目资金主要用于：</w:t>
      </w:r>
      <w:r>
        <w:rPr>
          <w:rFonts w:hint="eastAsia" w:ascii="方正仿宋_GBK" w:hAnsi="方正仿宋_GBK" w:eastAsia="方正仿宋_GBK" w:cs="方正仿宋_GBK"/>
          <w:sz w:val="32"/>
          <w:szCs w:val="32"/>
          <w:lang w:eastAsia="zh-CN"/>
        </w:rPr>
        <w:t>劳务费</w:t>
      </w:r>
      <w:r>
        <w:rPr>
          <w:rFonts w:hint="eastAsia" w:ascii="方正仿宋_GBK" w:hAnsi="方正仿宋_GBK" w:eastAsia="方正仿宋_GBK" w:cs="方正仿宋_GBK"/>
          <w:sz w:val="32"/>
          <w:szCs w:val="32"/>
        </w:rPr>
        <w:t>、办公费、</w:t>
      </w:r>
      <w:r>
        <w:rPr>
          <w:rFonts w:hint="eastAsia" w:ascii="方正仿宋_GBK" w:hAnsi="方正仿宋_GBK" w:eastAsia="方正仿宋_GBK" w:cs="方正仿宋_GBK"/>
          <w:sz w:val="32"/>
          <w:szCs w:val="32"/>
          <w:lang w:eastAsia="zh-CN"/>
        </w:rPr>
        <w:t>委托业务费</w:t>
      </w:r>
      <w:r>
        <w:rPr>
          <w:rFonts w:hint="eastAsia" w:ascii="方正仿宋_GBK" w:hAnsi="方正仿宋_GBK" w:eastAsia="方正仿宋_GBK" w:cs="方正仿宋_GBK"/>
          <w:sz w:val="32"/>
          <w:szCs w:val="32"/>
        </w:rPr>
        <w:t>、培训费、</w:t>
      </w:r>
      <w:r>
        <w:rPr>
          <w:rFonts w:hint="eastAsia" w:ascii="方正仿宋_GBK" w:hAnsi="方正仿宋_GBK" w:eastAsia="方正仿宋_GBK" w:cs="方正仿宋_GBK"/>
          <w:sz w:val="32"/>
          <w:szCs w:val="32"/>
          <w:lang w:eastAsia="zh-CN"/>
        </w:rPr>
        <w:t>租赁费、差旅费等</w:t>
      </w:r>
      <w:r>
        <w:rPr>
          <w:rFonts w:hint="eastAsia" w:ascii="方正仿宋_GBK" w:hAnsi="方正仿宋_GBK" w:eastAsia="方正仿宋_GBK" w:cs="方正仿宋_GBK"/>
          <w:sz w:val="32"/>
          <w:szCs w:val="32"/>
        </w:rPr>
        <w:t>。</w:t>
      </w:r>
    </w:p>
    <w:p>
      <w:pPr>
        <w:spacing w:line="560" w:lineRule="exact"/>
        <w:ind w:firstLine="64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各项目资金落实到位，实施过程中，管理制度健全，执行有效。各项支出按制度逐层审批把关，项目按要求完成目标，达到预期效果。</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三</w:t>
      </w:r>
      <w:r>
        <w:rPr>
          <w:rFonts w:ascii="方正黑体_GBK" w:eastAsia="方正黑体_GBK"/>
          <w:sz w:val="32"/>
          <w:szCs w:val="32"/>
        </w:rPr>
        <w:t>、部门整体支出绩效情况</w:t>
      </w:r>
    </w:p>
    <w:p>
      <w:pPr>
        <w:spacing w:line="560" w:lineRule="exact"/>
        <w:ind w:firstLine="640" w:firstLineChars="200"/>
        <w:rPr>
          <w:rFonts w:hint="eastAsia" w:ascii="方正仿宋_GBK" w:hAnsi="方正仿宋_GBK" w:eastAsia="方正仿宋_GBK" w:cs="方正仿宋_GBK"/>
          <w:b w:val="0"/>
          <w:bCs w:val="0"/>
          <w:sz w:val="32"/>
          <w:szCs w:val="32"/>
          <w:shd w:val="solid" w:color="FFFFFF" w:fill="auto"/>
          <w:lang w:eastAsia="zh-CN"/>
        </w:rPr>
      </w:pPr>
      <w:r>
        <w:rPr>
          <w:rFonts w:hint="eastAsia" w:ascii="方正仿宋_GBK" w:hAnsi="方正仿宋_GBK" w:eastAsia="方正仿宋_GBK" w:cs="方正仿宋_GBK"/>
          <w:b w:val="0"/>
          <w:bCs w:val="0"/>
          <w:sz w:val="32"/>
          <w:szCs w:val="32"/>
          <w:shd w:val="solid" w:color="FFFFFF" w:fill="auto"/>
          <w:lang w:val="en-US" w:eastAsia="zh-CN"/>
        </w:rPr>
        <w:t>（一）</w:t>
      </w:r>
      <w:r>
        <w:rPr>
          <w:rFonts w:hint="eastAsia" w:ascii="方正仿宋_GBK" w:hAnsi="方正仿宋_GBK" w:eastAsia="方正仿宋_GBK" w:cs="方正仿宋_GBK"/>
          <w:b w:val="0"/>
          <w:bCs w:val="0"/>
          <w:sz w:val="32"/>
          <w:szCs w:val="32"/>
          <w:shd w:val="solid" w:color="FFFFFF" w:fill="auto"/>
          <w:lang w:eastAsia="zh-CN"/>
        </w:rPr>
        <w:t>认真编制并执行食品生产许可现场核查计划。在规定的</w:t>
      </w:r>
      <w:r>
        <w:rPr>
          <w:rFonts w:hint="eastAsia" w:ascii="方正仿宋_GBK" w:hAnsi="方正仿宋_GBK" w:eastAsia="方正仿宋_GBK" w:cs="方正仿宋_GBK"/>
          <w:b w:val="0"/>
          <w:bCs w:val="0"/>
          <w:sz w:val="32"/>
          <w:szCs w:val="32"/>
          <w:shd w:val="solid" w:color="FFFFFF" w:fill="auto"/>
          <w:lang w:val="en-US" w:eastAsia="zh-CN"/>
        </w:rPr>
        <w:t>5个工作日内</w:t>
      </w:r>
      <w:r>
        <w:rPr>
          <w:rFonts w:hint="eastAsia" w:ascii="方正仿宋_GBK" w:hAnsi="方正仿宋_GBK" w:eastAsia="方正仿宋_GBK" w:cs="方正仿宋_GBK"/>
          <w:b w:val="0"/>
          <w:bCs w:val="0"/>
          <w:sz w:val="32"/>
          <w:szCs w:val="32"/>
          <w:shd w:val="solid" w:color="FFFFFF" w:fill="auto"/>
          <w:lang w:eastAsia="zh-CN"/>
        </w:rPr>
        <w:t>完成食品生产许可现场核查，</w:t>
      </w:r>
      <w:r>
        <w:rPr>
          <w:rFonts w:hint="eastAsia" w:ascii="方正仿宋_GBK" w:hAnsi="方正仿宋_GBK" w:eastAsia="方正仿宋_GBK" w:cs="方正仿宋_GBK"/>
          <w:b w:val="0"/>
          <w:bCs w:val="0"/>
          <w:sz w:val="32"/>
          <w:szCs w:val="32"/>
        </w:rPr>
        <w:t>截止2021年1</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月,中心共收到食品生产安全监管处转来318家食品生产企业的已受理申报材料，共编制食品生产许可现场核查计划42批，派出核查人员647人次，现场核查完毕310家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现场核查未通过的食品生产企业44家</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shd w:val="solid" w:color="FFFFFF" w:fill="auto"/>
        </w:rPr>
        <w:t>完成特殊食品现场核查共22家，其中保健食品书面审查13家、现场核查技术审查12家（含1家新办），婴配企业变更、延续现场核查7家，食盐生产企业现场核查3家</w:t>
      </w:r>
      <w:r>
        <w:rPr>
          <w:rFonts w:hint="eastAsia" w:ascii="方正仿宋_GBK" w:hAnsi="方正仿宋_GBK" w:eastAsia="方正仿宋_GBK" w:cs="方正仿宋_GBK"/>
          <w:b w:val="0"/>
          <w:bCs w:val="0"/>
          <w:sz w:val="32"/>
          <w:szCs w:val="32"/>
          <w:shd w:val="solid" w:color="FFFFFF" w:fill="auto"/>
          <w:lang w:eastAsia="zh-CN"/>
        </w:rPr>
        <w:t>；</w:t>
      </w:r>
      <w:r>
        <w:rPr>
          <w:rFonts w:hint="eastAsia" w:ascii="方正仿宋_GBK" w:hAnsi="方正仿宋_GBK" w:eastAsia="方正仿宋_GBK" w:cs="方正仿宋_GBK"/>
          <w:b w:val="0"/>
          <w:bCs w:val="0"/>
          <w:sz w:val="32"/>
          <w:szCs w:val="32"/>
          <w:shd w:val="solid" w:color="FFFFFF" w:fill="auto"/>
        </w:rPr>
        <w:t>完成国家总局食品审评中心委托保健食品注册品种复核4个</w:t>
      </w:r>
      <w:r>
        <w:rPr>
          <w:rFonts w:hint="eastAsia" w:ascii="方正仿宋_GBK" w:hAnsi="方正仿宋_GBK" w:eastAsia="方正仿宋_GBK" w:cs="方正仿宋_GBK"/>
          <w:b w:val="0"/>
          <w:bCs w:val="0"/>
          <w:sz w:val="32"/>
          <w:szCs w:val="32"/>
          <w:shd w:val="solid" w:color="FFFFFF" w:fill="auto"/>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b w:val="0"/>
          <w:bCs w:val="0"/>
          <w:color w:val="000000"/>
          <w:sz w:val="32"/>
          <w:szCs w:val="32"/>
          <w:lang w:eastAsia="zh-CN"/>
        </w:rPr>
      </w:pPr>
      <w:r>
        <w:rPr>
          <w:rFonts w:hint="eastAsia" w:ascii="方正仿宋_GBK" w:hAnsi="方正仿宋_GBK" w:eastAsia="方正仿宋_GBK" w:cs="方正仿宋_GBK"/>
          <w:b w:val="0"/>
          <w:bCs w:val="0"/>
          <w:sz w:val="32"/>
          <w:szCs w:val="32"/>
          <w:shd w:val="solid" w:color="FFFFFF" w:fill="auto"/>
          <w:lang w:val="en-US" w:eastAsia="zh-CN"/>
        </w:rPr>
        <w:t>（二）</w:t>
      </w:r>
      <w:r>
        <w:rPr>
          <w:rFonts w:hint="eastAsia" w:ascii="方正仿宋_GBK" w:hAnsi="方正仿宋_GBK" w:eastAsia="方正仿宋_GBK" w:cs="方正仿宋_GBK"/>
          <w:b w:val="0"/>
          <w:bCs w:val="0"/>
          <w:sz w:val="32"/>
          <w:szCs w:val="32"/>
          <w:shd w:val="solid" w:color="FFFFFF" w:fill="auto"/>
          <w:lang w:eastAsia="zh-CN"/>
        </w:rPr>
        <w:t>组织开展食品生产许可现场核查跟踪检查和业务指导工作。</w:t>
      </w:r>
      <w:r>
        <w:rPr>
          <w:rFonts w:hint="eastAsia" w:ascii="方正仿宋_GBK" w:hAnsi="方正仿宋_GBK" w:eastAsia="方正仿宋_GBK" w:cs="方正仿宋_GBK"/>
          <w:b w:val="0"/>
          <w:bCs w:val="0"/>
          <w:color w:val="000000"/>
          <w:sz w:val="32"/>
          <w:szCs w:val="32"/>
        </w:rPr>
        <w:t>中心联合食安监处、省局监察室和机关党委每年组织开展了对食品生产企业的许可审查跟踪检查，已制订跟踪检查工作方案，目前已</w:t>
      </w:r>
      <w:r>
        <w:rPr>
          <w:rFonts w:hint="eastAsia" w:ascii="方正仿宋_GBK" w:hAnsi="方正仿宋_GBK" w:eastAsia="方正仿宋_GBK" w:cs="方正仿宋_GBK"/>
          <w:b w:val="0"/>
          <w:bCs w:val="0"/>
          <w:color w:val="000000"/>
          <w:sz w:val="32"/>
          <w:szCs w:val="32"/>
          <w:lang w:eastAsia="zh-CN"/>
        </w:rPr>
        <w:t>对</w:t>
      </w:r>
      <w:r>
        <w:rPr>
          <w:rFonts w:hint="eastAsia" w:ascii="方正仿宋_GBK" w:hAnsi="方正仿宋_GBK" w:eastAsia="方正仿宋_GBK" w:cs="方正仿宋_GBK"/>
          <w:b w:val="0"/>
          <w:bCs w:val="0"/>
          <w:color w:val="000000"/>
          <w:sz w:val="32"/>
          <w:szCs w:val="32"/>
        </w:rPr>
        <w:t>12家食品生产企业开展食品生产许可现场核查跟踪检查和业务指导工作。没有发现违法违规等行为，许可审查人员廉政纪律整体情况较好。</w:t>
      </w:r>
      <w:r>
        <w:rPr>
          <w:rFonts w:hint="eastAsia" w:ascii="方正仿宋_GBK" w:hAnsi="方正仿宋_GBK" w:eastAsia="方正仿宋_GBK" w:cs="方正仿宋_GBK"/>
          <w:b w:val="0"/>
          <w:bCs w:val="0"/>
          <w:color w:val="000000"/>
          <w:sz w:val="32"/>
          <w:szCs w:val="32"/>
          <w:lang w:eastAsia="zh-CN"/>
        </w:rPr>
        <w:t>中心派出黄雄伟、易翠薇等同志分别</w:t>
      </w:r>
      <w:r>
        <w:rPr>
          <w:rFonts w:hint="eastAsia" w:ascii="方正仿宋_GBK" w:hAnsi="方正仿宋_GBK" w:eastAsia="方正仿宋_GBK" w:cs="方正仿宋_GBK"/>
          <w:b w:val="0"/>
          <w:bCs w:val="0"/>
          <w:color w:val="000000"/>
          <w:sz w:val="32"/>
          <w:szCs w:val="32"/>
        </w:rPr>
        <w:t>对长沙市望城经开区、宁乡经开区、开福区食品生产监管人员和企业的食品安全管理员授课培训</w:t>
      </w:r>
      <w:r>
        <w:rPr>
          <w:rFonts w:hint="eastAsia" w:ascii="方正仿宋_GBK" w:hAnsi="方正仿宋_GBK" w:eastAsia="方正仿宋_GBK" w:cs="方正仿宋_GBK"/>
          <w:b w:val="0"/>
          <w:bCs w:val="0"/>
          <w:color w:val="000000"/>
          <w:sz w:val="32"/>
          <w:szCs w:val="32"/>
          <w:lang w:eastAsia="zh-CN"/>
        </w:rPr>
        <w:t>。</w:t>
      </w:r>
      <w:r>
        <w:rPr>
          <w:rFonts w:hint="eastAsia" w:ascii="方正仿宋_GBK" w:hAnsi="方正仿宋_GBK" w:eastAsia="方正仿宋_GBK" w:cs="方正仿宋_GBK"/>
          <w:b w:val="0"/>
          <w:bCs w:val="0"/>
          <w:color w:val="000000"/>
          <w:sz w:val="32"/>
          <w:szCs w:val="32"/>
        </w:rPr>
        <w:t>对湖南粮食集团和湖南武陵酒有限公司食品生产从业人员进行食品安全知识及专业技能培训，提升食品安全管理水平。</w:t>
      </w:r>
      <w:r>
        <w:rPr>
          <w:rFonts w:hint="eastAsia" w:ascii="方正仿宋_GBK" w:hAnsi="方正仿宋_GBK" w:eastAsia="方正仿宋_GBK" w:cs="方正仿宋_GBK"/>
          <w:b w:val="0"/>
          <w:bCs w:val="0"/>
          <w:color w:val="000000"/>
          <w:sz w:val="32"/>
          <w:szCs w:val="32"/>
          <w:lang w:eastAsia="zh-CN"/>
        </w:rPr>
        <w:t>安排相关专家</w:t>
      </w:r>
      <w:r>
        <w:rPr>
          <w:rFonts w:hint="eastAsia" w:ascii="方正仿宋_GBK" w:hAnsi="方正仿宋_GBK" w:eastAsia="方正仿宋_GBK" w:cs="方正仿宋_GBK"/>
          <w:b w:val="0"/>
          <w:bCs w:val="0"/>
          <w:color w:val="000000"/>
          <w:sz w:val="32"/>
          <w:szCs w:val="32"/>
        </w:rPr>
        <w:t>对怀化</w:t>
      </w:r>
      <w:r>
        <w:rPr>
          <w:rFonts w:hint="eastAsia" w:ascii="方正仿宋_GBK" w:hAnsi="方正仿宋_GBK" w:eastAsia="方正仿宋_GBK" w:cs="方正仿宋_GBK"/>
          <w:b w:val="0"/>
          <w:bCs w:val="0"/>
          <w:color w:val="000000"/>
          <w:sz w:val="32"/>
          <w:szCs w:val="32"/>
          <w:lang w:eastAsia="zh-CN"/>
        </w:rPr>
        <w:t>麻阳长寿谷食品加工有限公司</w:t>
      </w:r>
      <w:r>
        <w:rPr>
          <w:rFonts w:hint="eastAsia" w:ascii="方正仿宋_GBK" w:hAnsi="方正仿宋_GBK" w:eastAsia="方正仿宋_GBK" w:cs="方正仿宋_GBK"/>
          <w:b w:val="0"/>
          <w:bCs w:val="0"/>
          <w:color w:val="000000"/>
          <w:sz w:val="32"/>
          <w:szCs w:val="32"/>
        </w:rPr>
        <w:t>进行生产许可方面技术指导。</w:t>
      </w:r>
      <w:r>
        <w:rPr>
          <w:rFonts w:hint="eastAsia" w:ascii="方正仿宋_GBK" w:hAnsi="方正仿宋_GBK" w:eastAsia="方正仿宋_GBK" w:cs="方正仿宋_GBK"/>
          <w:b w:val="0"/>
          <w:bCs w:val="0"/>
          <w:color w:val="000000"/>
          <w:sz w:val="32"/>
          <w:szCs w:val="32"/>
          <w:lang w:eastAsia="zh-CN"/>
        </w:rPr>
        <w:t>对澳优乳业审评业务难题提前做出风险预警和指导，对企业关键生产过程和控制要点提出建议和解决方案，对症下药，治标治本，企业对我们这种形式的帮扶工作非常赞赏，也取得了一定的实效。通过帮助澳优乳业抓好产品研发、工艺设计与产品配方申报注册等种种帮扶举措，让企业在确保生产经营合规的基础上，不断提升企业的专业管理水平。</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b w:val="0"/>
          <w:bCs w:val="0"/>
          <w:color w:val="000000"/>
          <w:sz w:val="32"/>
          <w:szCs w:val="32"/>
          <w:lang w:eastAsia="zh-CN"/>
        </w:rPr>
      </w:pPr>
      <w:r>
        <w:rPr>
          <w:rFonts w:hint="eastAsia" w:ascii="方正仿宋_GBK" w:hAnsi="方正仿宋_GBK" w:eastAsia="方正仿宋_GBK" w:cs="方正仿宋_GBK"/>
          <w:b w:val="0"/>
          <w:bCs w:val="0"/>
          <w:sz w:val="32"/>
          <w:szCs w:val="32"/>
          <w:shd w:val="solid" w:color="FFFFFF" w:fill="auto"/>
          <w:lang w:val="en-US" w:eastAsia="zh-CN"/>
        </w:rPr>
        <w:t>（三）</w:t>
      </w:r>
      <w:r>
        <w:rPr>
          <w:rFonts w:hint="eastAsia" w:ascii="方正仿宋_GBK" w:hAnsi="方正仿宋_GBK" w:eastAsia="方正仿宋_GBK" w:cs="方正仿宋_GBK"/>
          <w:b w:val="0"/>
          <w:bCs w:val="0"/>
          <w:sz w:val="32"/>
          <w:szCs w:val="32"/>
          <w:shd w:val="solid" w:color="FFFFFF" w:fill="auto"/>
          <w:lang w:eastAsia="zh-CN"/>
        </w:rPr>
        <w:t>完成省局“双随机、一公开”飞行检查、评价验收等工作。</w:t>
      </w:r>
      <w:r>
        <w:rPr>
          <w:rFonts w:hint="eastAsia" w:ascii="方正仿宋_GBK" w:hAnsi="方正仿宋_GBK" w:eastAsia="方正仿宋_GBK" w:cs="方正仿宋_GBK"/>
          <w:b w:val="0"/>
          <w:bCs w:val="0"/>
          <w:sz w:val="32"/>
          <w:szCs w:val="32"/>
          <w:lang w:val="en-US" w:eastAsia="zh-CN"/>
        </w:rPr>
        <w:t>按照省局</w:t>
      </w:r>
      <w:r>
        <w:rPr>
          <w:rFonts w:hint="eastAsia" w:ascii="方正仿宋_GBK" w:hAnsi="方正仿宋_GBK" w:eastAsia="方正仿宋_GBK" w:cs="方正仿宋_GBK"/>
          <w:b w:val="0"/>
          <w:bCs w:val="0"/>
          <w:sz w:val="32"/>
          <w:szCs w:val="32"/>
        </w:rPr>
        <w:t>“双随机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一公开”</w:t>
      </w:r>
      <w:r>
        <w:rPr>
          <w:rFonts w:hint="eastAsia" w:ascii="方正仿宋_GBK" w:hAnsi="方正仿宋_GBK" w:eastAsia="方正仿宋_GBK" w:cs="方正仿宋_GBK"/>
          <w:b w:val="0"/>
          <w:bCs w:val="0"/>
          <w:sz w:val="32"/>
          <w:szCs w:val="32"/>
          <w:lang w:val="en-US" w:eastAsia="zh-CN"/>
        </w:rPr>
        <w:t>要求，</w:t>
      </w:r>
      <w:r>
        <w:rPr>
          <w:rFonts w:hint="eastAsia" w:ascii="方正仿宋_GBK" w:hAnsi="方正仿宋_GBK" w:eastAsia="方正仿宋_GBK" w:cs="方正仿宋_GBK"/>
          <w:b w:val="0"/>
          <w:bCs w:val="0"/>
          <w:color w:val="000000"/>
          <w:sz w:val="32"/>
          <w:szCs w:val="32"/>
        </w:rPr>
        <w:t>共组织检查人员60多人次完成了对17家食品生产企业的飞行检查，</w:t>
      </w:r>
      <w:r>
        <w:rPr>
          <w:rFonts w:hint="eastAsia" w:ascii="方正仿宋_GBK" w:hAnsi="方正仿宋_GBK" w:eastAsia="方正仿宋_GBK" w:cs="方正仿宋_GBK"/>
          <w:b w:val="0"/>
          <w:bCs w:val="0"/>
          <w:color w:val="000000"/>
          <w:sz w:val="32"/>
          <w:szCs w:val="32"/>
          <w:lang w:val="en-US" w:eastAsia="zh-CN"/>
        </w:rPr>
        <w:t>并将每家企业检查情况形成书面检查报告。</w:t>
      </w:r>
      <w:r>
        <w:rPr>
          <w:rFonts w:hint="eastAsia" w:ascii="方正仿宋_GBK" w:hAnsi="方正仿宋_GBK" w:eastAsia="方正仿宋_GBK" w:cs="方正仿宋_GBK"/>
          <w:b w:val="0"/>
          <w:bCs w:val="0"/>
          <w:kern w:val="0"/>
          <w:sz w:val="32"/>
          <w:szCs w:val="32"/>
        </w:rPr>
        <w:t>根据省食安办的部署安排，</w:t>
      </w:r>
      <w:r>
        <w:rPr>
          <w:rFonts w:hint="eastAsia" w:ascii="方正仿宋_GBK" w:hAnsi="方正仿宋_GBK" w:eastAsia="方正仿宋_GBK" w:cs="方正仿宋_GBK"/>
          <w:b w:val="0"/>
          <w:bCs w:val="0"/>
          <w:sz w:val="32"/>
          <w:szCs w:val="32"/>
        </w:rPr>
        <w:t>对天心区、南岳区、资兴市、韶山市、娄星区、花垣县和新晃县7个县级市开展湖南省食品安全示范县市区省级评价验收；对长沙市创建国家食品安全示范城市开展初评资料审查和明查暗访工作，派人参加省食品安全示范城市验收的资料审核和现场验收工作，共完成13个区县的资料审核，7个区县的现场验收工作。</w:t>
      </w:r>
      <w:r>
        <w:rPr>
          <w:rFonts w:hint="eastAsia" w:ascii="方正仿宋_GBK" w:hAnsi="方正仿宋_GBK" w:eastAsia="方正仿宋_GBK" w:cs="方正仿宋_GBK"/>
          <w:b w:val="0"/>
          <w:bCs w:val="0"/>
          <w:color w:val="000000"/>
          <w:sz w:val="32"/>
          <w:szCs w:val="32"/>
          <w:lang w:eastAsia="zh-CN"/>
        </w:rPr>
        <w:t>中心</w:t>
      </w:r>
      <w:r>
        <w:rPr>
          <w:rFonts w:hint="eastAsia" w:ascii="方正仿宋_GBK" w:hAnsi="方正仿宋_GBK" w:eastAsia="方正仿宋_GBK" w:cs="方正仿宋_GBK"/>
          <w:b w:val="0"/>
          <w:bCs w:val="0"/>
          <w:color w:val="000000"/>
          <w:sz w:val="32"/>
          <w:szCs w:val="32"/>
        </w:rPr>
        <w:t>根据“百优食堂、幸福职工”为民办实事竞赛创优活动，对《竞赛考核评分表》提出修改意见，</w:t>
      </w:r>
      <w:r>
        <w:rPr>
          <w:rFonts w:hint="eastAsia" w:ascii="方正仿宋_GBK" w:hAnsi="方正仿宋_GBK" w:eastAsia="方正仿宋_GBK" w:cs="方正仿宋_GBK"/>
          <w:b w:val="0"/>
          <w:bCs w:val="0"/>
          <w:color w:val="000000"/>
          <w:sz w:val="32"/>
          <w:szCs w:val="32"/>
          <w:lang w:eastAsia="zh-CN"/>
        </w:rPr>
        <w:t>并安排专家参加评比工作。</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lang w:val="en-US" w:eastAsia="zh-CN"/>
        </w:rPr>
        <w:t>（四）</w:t>
      </w:r>
      <w:r>
        <w:rPr>
          <w:rFonts w:hint="eastAsia" w:ascii="方正仿宋_GBK" w:hAnsi="方正仿宋_GBK" w:eastAsia="方正仿宋_GBK" w:cs="方正仿宋_GBK"/>
          <w:b w:val="0"/>
          <w:bCs w:val="0"/>
          <w:sz w:val="32"/>
          <w:szCs w:val="32"/>
        </w:rPr>
        <w:t>完成学校食品安全暗访</w:t>
      </w:r>
      <w:r>
        <w:rPr>
          <w:rFonts w:hint="eastAsia" w:ascii="方正仿宋_GBK" w:hAnsi="方正仿宋_GBK" w:eastAsia="方正仿宋_GBK" w:cs="方正仿宋_GBK"/>
          <w:b w:val="0"/>
          <w:bCs w:val="0"/>
          <w:sz w:val="32"/>
          <w:szCs w:val="32"/>
          <w:lang w:eastAsia="zh-CN"/>
        </w:rPr>
        <w:t>及食品经营环节培训</w:t>
      </w:r>
      <w:r>
        <w:rPr>
          <w:rFonts w:hint="eastAsia" w:ascii="方正仿宋_GBK" w:hAnsi="方正仿宋_GBK" w:eastAsia="方正仿宋_GBK" w:cs="方正仿宋_GBK"/>
          <w:b w:val="0"/>
          <w:bCs w:val="0"/>
          <w:sz w:val="32"/>
          <w:szCs w:val="32"/>
        </w:rPr>
        <w:t>工作。参加由省市场监督管理、省教育厅、省卫生健康委员会以及省</w:t>
      </w:r>
      <w:r>
        <w:rPr>
          <w:rFonts w:hint="eastAsia" w:ascii="方正仿宋_GBK" w:hAnsi="方正仿宋_GBK" w:eastAsia="方正仿宋_GBK" w:cs="方正仿宋_GBK"/>
          <w:b w:val="0"/>
          <w:bCs w:val="0"/>
          <w:sz w:val="32"/>
          <w:szCs w:val="32"/>
          <w:lang w:eastAsia="zh-CN"/>
        </w:rPr>
        <w:t>住房和城乡建设厅</w:t>
      </w:r>
      <w:r>
        <w:rPr>
          <w:rFonts w:hint="eastAsia" w:ascii="方正仿宋_GBK" w:hAnsi="方正仿宋_GBK" w:eastAsia="方正仿宋_GBK" w:cs="方正仿宋_GBK"/>
          <w:b w:val="0"/>
          <w:bCs w:val="0"/>
          <w:sz w:val="32"/>
          <w:szCs w:val="32"/>
        </w:rPr>
        <w:t>联合组织的“春季学校食品安全省级联合督查”和“秋季学校食品安全省级联合督查”工作，并完成督查报告，全年共督查学校140所学校，其中高校、高中、初中、小学、幼儿园各28所。完成《学校食堂建设和食品安全管理规范》标准的制定</w:t>
      </w:r>
      <w:r>
        <w:rPr>
          <w:rFonts w:hint="eastAsia" w:ascii="方正仿宋_GBK" w:hAnsi="方正仿宋_GBK" w:eastAsia="方正仿宋_GBK" w:cs="方正仿宋_GBK"/>
          <w:b w:val="0"/>
          <w:bCs w:val="0"/>
          <w:sz w:val="32"/>
          <w:szCs w:val="32"/>
          <w:lang w:eastAsia="zh-CN"/>
        </w:rPr>
        <w:t>和宣贯</w:t>
      </w:r>
      <w:r>
        <w:rPr>
          <w:rFonts w:hint="eastAsia" w:ascii="方正仿宋_GBK" w:hAnsi="方正仿宋_GBK" w:eastAsia="方正仿宋_GBK" w:cs="方正仿宋_GBK"/>
          <w:b w:val="0"/>
          <w:bCs w:val="0"/>
          <w:sz w:val="32"/>
          <w:szCs w:val="32"/>
        </w:rPr>
        <w:t>工作，</w:t>
      </w:r>
      <w:r>
        <w:rPr>
          <w:rFonts w:hint="eastAsia" w:ascii="方正仿宋_GBK" w:hAnsi="方正仿宋_GBK" w:eastAsia="方正仿宋_GBK" w:cs="方正仿宋_GBK"/>
          <w:b w:val="0"/>
          <w:bCs w:val="0"/>
          <w:sz w:val="32"/>
          <w:szCs w:val="32"/>
          <w:lang w:eastAsia="zh-CN"/>
        </w:rPr>
        <w:t>宣贯会得到了</w:t>
      </w:r>
      <w:r>
        <w:rPr>
          <w:rFonts w:hint="eastAsia" w:ascii="方正仿宋_GBK" w:hAnsi="方正仿宋_GBK" w:eastAsia="方正仿宋_GBK" w:cs="方正仿宋_GBK"/>
          <w:b w:val="0"/>
          <w:bCs w:val="0"/>
          <w:sz w:val="32"/>
          <w:szCs w:val="32"/>
        </w:rPr>
        <w:t>湖南日报、三湘都市报、红网、潇湘晨报、新湖南等多家媒体进行专题报道</w:t>
      </w:r>
      <w:r>
        <w:rPr>
          <w:rFonts w:hint="eastAsia" w:ascii="方正仿宋_GBK" w:hAnsi="方正仿宋_GBK" w:eastAsia="方正仿宋_GBK" w:cs="方正仿宋_GBK"/>
          <w:b w:val="0"/>
          <w:bCs w:val="0"/>
          <w:sz w:val="32"/>
          <w:szCs w:val="32"/>
          <w:lang w:eastAsia="zh-CN"/>
        </w:rPr>
        <w:t>。组织</w:t>
      </w:r>
      <w:r>
        <w:rPr>
          <w:rFonts w:hint="eastAsia" w:ascii="方正仿宋_GBK" w:hAnsi="方正仿宋_GBK" w:eastAsia="方正仿宋_GBK" w:cs="方正仿宋_GBK"/>
          <w:b w:val="0"/>
          <w:bCs w:val="0"/>
          <w:sz w:val="32"/>
          <w:szCs w:val="32"/>
        </w:rPr>
        <w:t>举办了《全省重点餐饮单位食品安全管理员》的培训班</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共计190人参加</w:t>
      </w:r>
      <w:r>
        <w:rPr>
          <w:rFonts w:hint="eastAsia" w:ascii="方正仿宋_GBK" w:hAnsi="方正仿宋_GBK" w:eastAsia="方正仿宋_GBK" w:cs="方正仿宋_GBK"/>
          <w:b w:val="0"/>
          <w:bCs w:val="0"/>
          <w:sz w:val="32"/>
          <w:szCs w:val="32"/>
          <w:lang w:val="en-US" w:eastAsia="zh-CN"/>
        </w:rPr>
        <w:t>培训，举办了《全省保健食品审查员和保健食品生产企业负责人培训班》，共培训110人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重点解读了学校食堂建设管理标准，中央厨房和集中用餐配送单位经营许可相关工作经验介绍，邀请省疾控中心的专家讲解了食品安全事故应急管理知识等，</w:t>
      </w:r>
      <w:r>
        <w:rPr>
          <w:rFonts w:hint="eastAsia" w:ascii="方正仿宋_GBK" w:hAnsi="方正仿宋_GBK" w:eastAsia="方正仿宋_GBK" w:cs="方正仿宋_GBK"/>
          <w:b w:val="0"/>
          <w:bCs w:val="0"/>
          <w:sz w:val="32"/>
          <w:szCs w:val="32"/>
          <w:lang w:eastAsia="zh-CN"/>
        </w:rPr>
        <w:t>取得了良好</w:t>
      </w:r>
      <w:r>
        <w:rPr>
          <w:rFonts w:hint="eastAsia" w:ascii="方正仿宋_GBK" w:hAnsi="方正仿宋_GBK" w:eastAsia="方正仿宋_GBK" w:cs="方正仿宋_GBK"/>
          <w:b w:val="0"/>
          <w:bCs w:val="0"/>
          <w:sz w:val="32"/>
          <w:szCs w:val="32"/>
        </w:rPr>
        <w:t>效果。</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ascii="方正黑体_GBK" w:eastAsia="方正黑体_GBK"/>
          <w:sz w:val="32"/>
          <w:szCs w:val="32"/>
        </w:rPr>
      </w:pPr>
      <w:r>
        <w:rPr>
          <w:rFonts w:hint="eastAsia" w:ascii="方正黑体_GBK" w:eastAsia="方正黑体_GBK"/>
          <w:sz w:val="32"/>
          <w:szCs w:val="32"/>
          <w:lang w:val="en-US" w:eastAsia="zh-CN"/>
        </w:rPr>
        <w:t>四</w:t>
      </w:r>
      <w:r>
        <w:rPr>
          <w:rFonts w:ascii="方正黑体_GBK" w:eastAsia="方正黑体_GBK"/>
          <w:sz w:val="32"/>
          <w:szCs w:val="32"/>
        </w:rPr>
        <w:t>、存在的问题及原因分析</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（一）由于疫情影响，我中心项目资金培训有部分尚未开展，培训费有部分尚未开支，以后将加大预算控制，按照实际情况制定预算。</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rPr>
        <w:t>绩效意识有待加强，绩效考核不够完善。随着财政改革推进，绩效管理在财政改革中的地位越来越重要，而当前绩效管理稳步推进中，人员绩效意识还需不断加强，加强专业知识学习和培训。我中心需加强绩效管理工作，完善本单位绩效制度，绩效目标不断细化、量化，加强绩效考核。</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ascii="方正黑体_GBK" w:eastAsia="方正黑体_GBK"/>
          <w:sz w:val="32"/>
          <w:szCs w:val="32"/>
        </w:rPr>
      </w:pPr>
      <w:r>
        <w:rPr>
          <w:rFonts w:hint="eastAsia" w:ascii="方正黑体_GBK" w:eastAsia="方正黑体_GBK"/>
          <w:sz w:val="32"/>
          <w:szCs w:val="32"/>
          <w:lang w:val="en-US" w:eastAsia="zh-CN"/>
        </w:rPr>
        <w:t>五、</w:t>
      </w:r>
      <w:r>
        <w:rPr>
          <w:rFonts w:ascii="方正黑体_GBK" w:eastAsia="方正黑体_GBK"/>
          <w:sz w:val="32"/>
          <w:szCs w:val="32"/>
        </w:rPr>
        <w:t>下一步改进措施</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我中心结合此次绩效自评结果，对存在的问题及时整改，完善绩效考核制度，加强自身绩效意识，逐步完善本中心绩效自评制度，提高财政资金使用效益。</w:t>
      </w:r>
    </w:p>
    <w:p>
      <w:pPr>
        <w:keepNext w:val="0"/>
        <w:keepLines w:val="0"/>
        <w:pageBreakBefore w:val="0"/>
        <w:widowControl w:val="0"/>
        <w:numPr>
          <w:ilvl w:val="0"/>
          <w:numId w:val="6"/>
        </w:numPr>
        <w:pBdr>
          <w:bottom w:val="single" w:color="FFFFFF" w:sz="4" w:space="31"/>
        </w:pBdr>
        <w:tabs>
          <w:tab w:val="left" w:pos="1440"/>
        </w:tabs>
        <w:kinsoku/>
        <w:wordWrap/>
        <w:overflowPunct w:val="0"/>
        <w:topLinePunct w:val="0"/>
        <w:autoSpaceDE/>
        <w:autoSpaceDN/>
        <w:bidi w:val="0"/>
        <w:adjustRightInd/>
        <w:snapToGrid/>
        <w:spacing w:line="620" w:lineRule="exact"/>
        <w:ind w:firstLine="640" w:firstLineChars="200"/>
        <w:jc w:val="both"/>
        <w:textAlignment w:val="auto"/>
        <w:rPr>
          <w:rFonts w:ascii="方正黑体_GBK" w:eastAsia="方正黑体_GBK"/>
          <w:sz w:val="32"/>
          <w:szCs w:val="32"/>
        </w:rPr>
      </w:pPr>
      <w:r>
        <w:rPr>
          <w:rFonts w:ascii="方正黑体_GBK" w:eastAsia="方正黑体_GBK"/>
          <w:sz w:val="32"/>
          <w:szCs w:val="32"/>
        </w:rPr>
        <w:t>单位整体支出绩效自评结果拟应用和公开情况</w:t>
      </w:r>
    </w:p>
    <w:p>
      <w:pPr>
        <w:keepNext w:val="0"/>
        <w:keepLines w:val="0"/>
        <w:pageBreakBefore w:val="0"/>
        <w:widowControl w:val="0"/>
        <w:numPr>
          <w:ilvl w:val="0"/>
          <w:numId w:val="0"/>
        </w:numPr>
        <w:pBdr>
          <w:bottom w:val="single" w:color="FFFFFF" w:sz="4" w:space="31"/>
        </w:pBdr>
        <w:tabs>
          <w:tab w:val="left" w:pos="1440"/>
        </w:tabs>
        <w:kinsoku/>
        <w:wordWrap/>
        <w:overflowPunct w:val="0"/>
        <w:topLinePunct w:val="0"/>
        <w:autoSpaceDE/>
        <w:autoSpaceDN/>
        <w:bidi w:val="0"/>
        <w:adjustRightInd/>
        <w:snapToGrid/>
        <w:spacing w:line="620" w:lineRule="exact"/>
        <w:ind w:firstLine="642" w:firstLineChars="200"/>
        <w:jc w:val="both"/>
        <w:textAlignment w:val="auto"/>
        <w:rPr>
          <w:rFonts w:eastAsia="方正仿宋_GBK"/>
          <w:b/>
          <w:sz w:val="32"/>
          <w:szCs w:val="32"/>
        </w:rPr>
      </w:pPr>
      <w:r>
        <w:rPr>
          <w:rFonts w:eastAsia="方正仿宋_GBK"/>
          <w:b/>
          <w:sz w:val="32"/>
          <w:szCs w:val="32"/>
        </w:rPr>
        <w:t>其他需要说明的情况</w:t>
      </w:r>
    </w:p>
    <w:p>
      <w:pPr>
        <w:widowControl/>
        <w:spacing w:line="600" w:lineRule="exact"/>
        <w:ind w:firstLine="640" w:firstLineChars="200"/>
        <w:rPr>
          <w:rFonts w:eastAsia="方正仿宋_GBK"/>
          <w:sz w:val="32"/>
          <w:szCs w:val="32"/>
        </w:rPr>
      </w:pPr>
      <w:r>
        <w:rPr>
          <w:rFonts w:eastAsia="方正仿宋_GBK"/>
          <w:sz w:val="32"/>
          <w:szCs w:val="32"/>
        </w:rPr>
        <w:t>报告需要以下附件：</w:t>
      </w:r>
    </w:p>
    <w:p>
      <w:pPr>
        <w:widowControl/>
        <w:numPr>
          <w:ilvl w:val="0"/>
          <w:numId w:val="7"/>
        </w:numPr>
        <w:spacing w:line="600" w:lineRule="exact"/>
        <w:ind w:firstLine="640" w:firstLineChars="200"/>
        <w:rPr>
          <w:rFonts w:hint="eastAsia" w:eastAsia="方正仿宋_GBK" w:cs="仿宋"/>
          <w:sz w:val="32"/>
          <w:szCs w:val="32"/>
        </w:rPr>
      </w:pPr>
      <w:r>
        <w:rPr>
          <w:rFonts w:hint="eastAsia" w:eastAsia="方正仿宋_GBK" w:cs="仿宋"/>
          <w:sz w:val="32"/>
          <w:szCs w:val="32"/>
        </w:rPr>
        <w:t>2021年度单位整体支出绩效评价基础数据表</w:t>
      </w:r>
    </w:p>
    <w:p>
      <w:pPr>
        <w:widowControl/>
        <w:numPr>
          <w:ilvl w:val="0"/>
          <w:numId w:val="8"/>
        </w:numPr>
        <w:spacing w:line="600" w:lineRule="exact"/>
        <w:ind w:firstLine="640" w:firstLineChars="200"/>
        <w:rPr>
          <w:rFonts w:hint="eastAsia" w:eastAsia="方正仿宋_GBK" w:cs="仿宋"/>
          <w:sz w:val="32"/>
          <w:szCs w:val="32"/>
        </w:rPr>
      </w:pPr>
      <w:r>
        <w:rPr>
          <w:rFonts w:hint="eastAsia" w:eastAsia="方正仿宋_GBK" w:cs="仿宋"/>
          <w:sz w:val="32"/>
          <w:szCs w:val="32"/>
        </w:rPr>
        <w:t>2021年度单位整体支出绩效自评表</w:t>
      </w:r>
    </w:p>
    <w:p>
      <w:pPr>
        <w:widowControl/>
        <w:numPr>
          <w:ilvl w:val="0"/>
          <w:numId w:val="8"/>
        </w:numPr>
        <w:spacing w:line="600" w:lineRule="exact"/>
        <w:ind w:left="0" w:leftChars="0" w:firstLine="640" w:firstLineChars="200"/>
        <w:rPr>
          <w:rFonts w:hint="eastAsia" w:eastAsia="方正仿宋_GBK" w:cs="仿宋"/>
          <w:sz w:val="32"/>
          <w:szCs w:val="32"/>
        </w:rPr>
      </w:pPr>
      <w:r>
        <w:rPr>
          <w:rFonts w:hint="eastAsia" w:eastAsia="方正仿宋_GBK" w:cs="仿宋"/>
          <w:sz w:val="32"/>
          <w:szCs w:val="32"/>
        </w:rPr>
        <w:t>2021年度项目支出绩效自评表（业务工作经费）</w:t>
      </w:r>
    </w:p>
    <w:p>
      <w:pPr>
        <w:widowControl/>
        <w:numPr>
          <w:ilvl w:val="0"/>
          <w:numId w:val="8"/>
        </w:numPr>
        <w:spacing w:line="600" w:lineRule="exact"/>
        <w:ind w:left="0" w:leftChars="0" w:firstLine="640" w:firstLineChars="200"/>
        <w:rPr>
          <w:rFonts w:hint="eastAsia" w:eastAsia="方正仿宋_GBK" w:cs="仿宋"/>
          <w:sz w:val="32"/>
          <w:szCs w:val="32"/>
        </w:rPr>
      </w:pPr>
      <w:r>
        <w:rPr>
          <w:rFonts w:hint="eastAsia" w:eastAsia="方正仿宋_GBK" w:cs="仿宋"/>
          <w:sz w:val="32"/>
          <w:szCs w:val="32"/>
        </w:rPr>
        <w:t>2021年度项目支出绩效自评表（运行维护费）</w:t>
      </w:r>
    </w:p>
    <w:p>
      <w:pPr>
        <w:widowControl/>
        <w:spacing w:line="600" w:lineRule="exact"/>
        <w:jc w:val="left"/>
        <w:rPr>
          <w:rFonts w:hint="eastAsia" w:eastAsia="仿宋_GB2312"/>
          <w:sz w:val="32"/>
          <w:szCs w:val="32"/>
        </w:rPr>
      </w:pPr>
    </w:p>
    <w:p>
      <w:pPr>
        <w:widowControl/>
        <w:spacing w:line="600" w:lineRule="exact"/>
        <w:jc w:val="left"/>
        <w:rPr>
          <w:rFonts w:hint="eastAsia" w:eastAsia="仿宋_GB2312"/>
          <w:sz w:val="32"/>
          <w:szCs w:val="32"/>
        </w:rPr>
      </w:pPr>
    </w:p>
    <w:p>
      <w:pPr>
        <w:widowControl/>
        <w:spacing w:before="156" w:beforeLines="50" w:after="156" w:afterLines="50"/>
        <w:jc w:val="left"/>
        <w:outlineLvl w:val="0"/>
        <w:rPr>
          <w:rFonts w:eastAsia="方正黑体_GBK"/>
          <w:sz w:val="32"/>
          <w:szCs w:val="32"/>
        </w:rPr>
      </w:pPr>
      <w:r>
        <w:rPr>
          <w:rFonts w:eastAsia="仿宋_GB2312"/>
          <w:kern w:val="0"/>
          <w:sz w:val="22"/>
        </w:rPr>
        <w:br w:type="page"/>
      </w:r>
      <w:r>
        <w:rPr>
          <w:rFonts w:eastAsia="方正黑体_GBK"/>
          <w:sz w:val="32"/>
          <w:szCs w:val="32"/>
        </w:rPr>
        <w:t>附件2</w:t>
      </w:r>
    </w:p>
    <w:p>
      <w:pPr>
        <w:widowControl/>
        <w:spacing w:before="156" w:beforeLines="50" w:after="156" w:afterLines="50" w:line="600" w:lineRule="exact"/>
        <w:jc w:val="center"/>
        <w:rPr>
          <w:rFonts w:hint="eastAsia" w:ascii="方正小标宋_GBK" w:hAnsi="微软雅黑" w:eastAsia="方正小标宋_GBK" w:cs="微软雅黑"/>
          <w:color w:val="000000"/>
          <w:kern w:val="0"/>
          <w:sz w:val="44"/>
          <w:szCs w:val="44"/>
        </w:rPr>
      </w:pPr>
      <w:r>
        <w:rPr>
          <w:rFonts w:hint="eastAsia" w:ascii="方正小标宋_GBK" w:hAnsi="微软雅黑" w:eastAsia="方正小标宋_GBK" w:cs="微软雅黑"/>
          <w:color w:val="000000"/>
          <w:kern w:val="0"/>
          <w:sz w:val="44"/>
          <w:szCs w:val="44"/>
        </w:rPr>
        <w:t>2021年度单位整体支出绩效评价基础数据表</w:t>
      </w:r>
    </w:p>
    <w:tbl>
      <w:tblPr>
        <w:tblStyle w:val="8"/>
        <w:tblW w:w="500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3193"/>
        <w:gridCol w:w="1124"/>
        <w:gridCol w:w="812"/>
        <w:gridCol w:w="1066"/>
        <w:gridCol w:w="1061"/>
        <w:gridCol w:w="920"/>
        <w:gridCol w:w="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1770" w:type="pct"/>
            <w:vMerge w:val="restart"/>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财政供养人员情况（人）</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编制数</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2021年实际在职人数</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控制率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vMerge w:val="continue"/>
            <w:noWrap w:val="0"/>
            <w:vAlign w:val="center"/>
          </w:tcPr>
          <w:p>
            <w:pPr>
              <w:widowControl/>
              <w:jc w:val="left"/>
              <w:rPr>
                <w:rFonts w:hint="eastAsia" w:ascii="仿宋" w:hAnsi="仿宋" w:eastAsia="仿宋" w:cs="仿宋"/>
                <w:kern w:val="0"/>
                <w:szCs w:val="21"/>
              </w:rPr>
            </w:pPr>
          </w:p>
        </w:tc>
        <w:tc>
          <w:tcPr>
            <w:tcW w:w="1073"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19</w:t>
            </w:r>
          </w:p>
        </w:tc>
        <w:tc>
          <w:tcPr>
            <w:tcW w:w="1179"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16</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84.21%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经费控制情况（万元）</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2020年决算数</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2021年预算数</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2021年决算数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三公经费</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3.66</w:t>
            </w: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5</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2.63</w:t>
            </w: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2.54</w:t>
            </w: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w:t>
            </w:r>
            <w:r>
              <w:rPr>
                <w:rFonts w:hint="eastAsia" w:ascii="仿宋" w:hAnsi="仿宋" w:eastAsia="仿宋" w:cs="仿宋"/>
                <w:kern w:val="0"/>
                <w:szCs w:val="21"/>
              </w:rPr>
              <w:t>　</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2.03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其中：公车购置</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公车运行维护</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2.54</w:t>
            </w: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w:t>
            </w: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2.03</w:t>
            </w: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2、出国经费</w:t>
            </w:r>
          </w:p>
        </w:tc>
        <w:tc>
          <w:tcPr>
            <w:tcW w:w="1073" w:type="pct"/>
            <w:gridSpan w:val="2"/>
            <w:noWrap w:val="0"/>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3、公务接待</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1.12</w:t>
            </w: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r>
              <w:rPr>
                <w:rFonts w:hint="eastAsia" w:ascii="仿宋" w:hAnsi="仿宋" w:eastAsia="仿宋" w:cs="仿宋"/>
                <w:kern w:val="0"/>
                <w:szCs w:val="21"/>
              </w:rPr>
              <w:t>　</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项目支出：</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1、业务工作经费</w:t>
            </w:r>
          </w:p>
        </w:tc>
        <w:tc>
          <w:tcPr>
            <w:tcW w:w="1073"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0.16</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29.4</w:t>
            </w: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24.8</w:t>
            </w: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2、运行维护经费</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3、省级专项资金（一个专项一行）</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食品安全监管</w:t>
            </w:r>
          </w:p>
        </w:tc>
        <w:tc>
          <w:tcPr>
            <w:tcW w:w="1073"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76.05</w:t>
            </w:r>
          </w:p>
        </w:tc>
        <w:tc>
          <w:tcPr>
            <w:tcW w:w="1179"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89.08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市场监督管理专项</w:t>
            </w:r>
          </w:p>
        </w:tc>
        <w:tc>
          <w:tcPr>
            <w:tcW w:w="1073"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37.1</w:t>
            </w:r>
          </w:p>
        </w:tc>
        <w:tc>
          <w:tcPr>
            <w:tcW w:w="1179"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43.95</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市场监督管理专项（市县）</w:t>
            </w:r>
          </w:p>
        </w:tc>
        <w:tc>
          <w:tcPr>
            <w:tcW w:w="1073"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38.37</w:t>
            </w:r>
          </w:p>
        </w:tc>
        <w:tc>
          <w:tcPr>
            <w:tcW w:w="1179"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4.98</w:t>
            </w:r>
          </w:p>
        </w:tc>
        <w:tc>
          <w:tcPr>
            <w:tcW w:w="976" w:type="pct"/>
            <w:gridSpan w:val="2"/>
            <w:noWrap w:val="0"/>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公用经费</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其中：办公经费</w:t>
            </w:r>
          </w:p>
        </w:tc>
        <w:tc>
          <w:tcPr>
            <w:tcW w:w="1073" w:type="pct"/>
            <w:gridSpan w:val="2"/>
            <w:noWrap w:val="0"/>
            <w:vAlign w:val="center"/>
          </w:tcPr>
          <w:p>
            <w:pPr>
              <w:widowControl/>
              <w:jc w:val="center"/>
              <w:rPr>
                <w:rFonts w:hint="default"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2.81</w:t>
            </w:r>
          </w:p>
        </w:tc>
        <w:tc>
          <w:tcPr>
            <w:tcW w:w="1179" w:type="pct"/>
            <w:gridSpan w:val="2"/>
            <w:noWrap w:val="0"/>
            <w:vAlign w:val="center"/>
          </w:tcPr>
          <w:p>
            <w:pPr>
              <w:widowControl/>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rPr>
              <w:t>　</w:t>
            </w:r>
            <w:r>
              <w:rPr>
                <w:rFonts w:hint="eastAsia" w:ascii="仿宋" w:hAnsi="仿宋" w:eastAsia="仿宋" w:cs="仿宋"/>
                <w:color w:val="auto"/>
                <w:kern w:val="0"/>
                <w:szCs w:val="21"/>
                <w:lang w:val="en-US" w:eastAsia="zh-CN"/>
              </w:rPr>
              <w:t>2</w:t>
            </w:r>
          </w:p>
        </w:tc>
        <w:tc>
          <w:tcPr>
            <w:tcW w:w="976" w:type="pct"/>
            <w:gridSpan w:val="2"/>
            <w:noWrap w:val="0"/>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1.71</w:t>
            </w:r>
            <w:r>
              <w:rPr>
                <w:rFonts w:hint="eastAsia" w:ascii="仿宋" w:hAnsi="仿宋" w:eastAsia="仿宋" w:cs="仿宋"/>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水费、电费、差旅费</w:t>
            </w:r>
          </w:p>
        </w:tc>
        <w:tc>
          <w:tcPr>
            <w:tcW w:w="1073" w:type="pct"/>
            <w:gridSpan w:val="2"/>
            <w:noWrap w:val="0"/>
            <w:vAlign w:val="center"/>
          </w:tcPr>
          <w:p>
            <w:pPr>
              <w:widowControl/>
              <w:jc w:val="center"/>
              <w:rPr>
                <w:rFonts w:hint="default" w:ascii="仿宋" w:hAnsi="仿宋" w:eastAsia="仿宋" w:cs="仿宋"/>
                <w:color w:val="auto"/>
                <w:kern w:val="0"/>
                <w:szCs w:val="21"/>
                <w:lang w:val="en-US" w:eastAsia="zh-CN"/>
              </w:rPr>
            </w:pPr>
            <w:r>
              <w:rPr>
                <w:rFonts w:hint="eastAsia" w:ascii="仿宋" w:hAnsi="仿宋" w:eastAsia="仿宋" w:cs="仿宋"/>
                <w:color w:val="auto"/>
                <w:kern w:val="0"/>
                <w:szCs w:val="21"/>
              </w:rPr>
              <w:t>　</w:t>
            </w:r>
            <w:r>
              <w:rPr>
                <w:rFonts w:hint="eastAsia" w:ascii="仿宋" w:hAnsi="仿宋" w:eastAsia="仿宋" w:cs="仿宋"/>
                <w:color w:val="auto"/>
                <w:kern w:val="0"/>
                <w:szCs w:val="21"/>
                <w:lang w:val="en-US" w:eastAsia="zh-CN"/>
              </w:rPr>
              <w:t>0.84</w:t>
            </w:r>
          </w:p>
        </w:tc>
        <w:tc>
          <w:tcPr>
            <w:tcW w:w="1179" w:type="pct"/>
            <w:gridSpan w:val="2"/>
            <w:noWrap w:val="0"/>
            <w:vAlign w:val="center"/>
          </w:tcPr>
          <w:p>
            <w:pPr>
              <w:widowControl/>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rPr>
              <w:t>　</w:t>
            </w:r>
            <w:r>
              <w:rPr>
                <w:rFonts w:hint="eastAsia" w:ascii="仿宋" w:hAnsi="仿宋" w:eastAsia="仿宋" w:cs="仿宋"/>
                <w:color w:val="auto"/>
                <w:kern w:val="0"/>
                <w:szCs w:val="21"/>
                <w:lang w:val="en-US" w:eastAsia="zh-CN"/>
              </w:rPr>
              <w:t>0</w:t>
            </w:r>
          </w:p>
        </w:tc>
        <w:tc>
          <w:tcPr>
            <w:tcW w:w="976" w:type="pct"/>
            <w:gridSpan w:val="2"/>
            <w:noWrap w:val="0"/>
            <w:vAlign w:val="center"/>
          </w:tcPr>
          <w:p>
            <w:pPr>
              <w:widowControl/>
              <w:jc w:val="center"/>
              <w:rPr>
                <w:rFonts w:hint="default" w:ascii="仿宋" w:hAnsi="仿宋" w:eastAsia="仿宋" w:cs="仿宋"/>
                <w:color w:val="auto"/>
                <w:kern w:val="0"/>
                <w:szCs w:val="21"/>
                <w:lang w:val="en-US" w:eastAsia="zh-CN"/>
              </w:rPr>
            </w:pPr>
            <w:r>
              <w:rPr>
                <w:rFonts w:hint="eastAsia" w:ascii="仿宋" w:hAnsi="仿宋" w:eastAsia="仿宋" w:cs="仿宋"/>
                <w:color w:val="auto"/>
                <w:kern w:val="0"/>
                <w:szCs w:val="21"/>
              </w:rPr>
              <w:t>　</w:t>
            </w:r>
            <w:r>
              <w:rPr>
                <w:rFonts w:hint="eastAsia" w:ascii="仿宋" w:hAnsi="仿宋" w:eastAsia="仿宋" w:cs="仿宋"/>
                <w:color w:val="auto"/>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          会议费、培训费</w:t>
            </w:r>
          </w:p>
        </w:tc>
        <w:tc>
          <w:tcPr>
            <w:tcW w:w="1073" w:type="pct"/>
            <w:gridSpan w:val="2"/>
            <w:noWrap w:val="0"/>
            <w:vAlign w:val="center"/>
          </w:tcPr>
          <w:p>
            <w:pPr>
              <w:widowControl/>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0</w:t>
            </w:r>
          </w:p>
        </w:tc>
        <w:tc>
          <w:tcPr>
            <w:tcW w:w="1179" w:type="pct"/>
            <w:gridSpan w:val="2"/>
            <w:noWrap w:val="0"/>
            <w:vAlign w:val="center"/>
          </w:tcPr>
          <w:p>
            <w:pPr>
              <w:widowControl/>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rPr>
              <w:t>　</w:t>
            </w:r>
            <w:r>
              <w:rPr>
                <w:rFonts w:hint="eastAsia" w:ascii="仿宋" w:hAnsi="仿宋" w:eastAsia="仿宋" w:cs="仿宋"/>
                <w:color w:val="auto"/>
                <w:kern w:val="0"/>
                <w:szCs w:val="21"/>
                <w:lang w:val="en-US" w:eastAsia="zh-CN"/>
              </w:rPr>
              <w:t>0</w:t>
            </w:r>
          </w:p>
        </w:tc>
        <w:tc>
          <w:tcPr>
            <w:tcW w:w="976" w:type="pct"/>
            <w:gridSpan w:val="2"/>
            <w:noWrap w:val="0"/>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 xml:space="preserve"> 0</w:t>
            </w:r>
            <w:r>
              <w:rPr>
                <w:rFonts w:hint="eastAsia" w:ascii="仿宋" w:hAnsi="仿宋" w:eastAsia="仿宋" w:cs="仿宋"/>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政府采购金额</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0.4</w:t>
            </w: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0.4</w:t>
            </w: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noWrap w:val="0"/>
            <w:vAlign w:val="center"/>
          </w:tcPr>
          <w:p>
            <w:pPr>
              <w:widowControl/>
              <w:jc w:val="left"/>
              <w:rPr>
                <w:rFonts w:hint="eastAsia" w:ascii="仿宋" w:hAnsi="仿宋" w:eastAsia="仿宋" w:cs="仿宋"/>
                <w:kern w:val="0"/>
                <w:szCs w:val="21"/>
              </w:rPr>
            </w:pPr>
            <w:r>
              <w:rPr>
                <w:rFonts w:hint="eastAsia" w:ascii="仿宋" w:hAnsi="仿宋" w:eastAsia="仿宋" w:cs="仿宋"/>
                <w:kern w:val="0"/>
                <w:szCs w:val="21"/>
              </w:rPr>
              <w:t xml:space="preserve">单位基本支出预算调整 </w:t>
            </w:r>
          </w:p>
        </w:tc>
        <w:tc>
          <w:tcPr>
            <w:tcW w:w="1073"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w:t>
            </w:r>
          </w:p>
        </w:tc>
        <w:tc>
          <w:tcPr>
            <w:tcW w:w="1179"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c>
          <w:tcPr>
            <w:tcW w:w="976" w:type="pct"/>
            <w:gridSpan w:val="2"/>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4" w:hRule="atLeast"/>
          <w:jc w:val="center"/>
        </w:trPr>
        <w:tc>
          <w:tcPr>
            <w:tcW w:w="1770" w:type="pct"/>
            <w:vMerge w:val="restart"/>
            <w:noWrap w:val="0"/>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rPr>
              <w:t>楼堂馆所控制情况</w:t>
            </w:r>
          </w:p>
          <w:p>
            <w:pPr>
              <w:widowControl/>
              <w:jc w:val="center"/>
              <w:rPr>
                <w:rFonts w:hint="eastAsia" w:ascii="仿宋" w:hAnsi="仿宋" w:eastAsia="仿宋" w:cs="仿宋"/>
                <w:kern w:val="0"/>
                <w:szCs w:val="21"/>
              </w:rPr>
            </w:pPr>
            <w:r>
              <w:rPr>
                <w:rFonts w:hint="eastAsia" w:ascii="仿宋" w:hAnsi="仿宋" w:eastAsia="仿宋" w:cs="仿宋"/>
                <w:kern w:val="0"/>
                <w:szCs w:val="21"/>
              </w:rPr>
              <w:t>（2021年完工项目）</w:t>
            </w:r>
          </w:p>
        </w:tc>
        <w:tc>
          <w:tcPr>
            <w:tcW w:w="623" w:type="pct"/>
            <w:noWrap w:val="0"/>
            <w:vAlign w:val="center"/>
          </w:tcPr>
          <w:p>
            <w:pPr>
              <w:widowControl/>
              <w:spacing w:line="240" w:lineRule="exact"/>
              <w:jc w:val="center"/>
              <w:rPr>
                <w:rFonts w:hint="eastAsia" w:ascii="仿宋" w:hAnsi="仿宋" w:eastAsia="仿宋" w:cs="仿宋"/>
                <w:bCs/>
                <w:kern w:val="0"/>
                <w:szCs w:val="21"/>
                <w:lang w:eastAsia="zh-CN"/>
              </w:rPr>
            </w:pPr>
            <w:r>
              <w:rPr>
                <w:rFonts w:hint="eastAsia" w:ascii="仿宋" w:hAnsi="仿宋" w:eastAsia="仿宋" w:cs="仿宋"/>
                <w:bCs/>
                <w:kern w:val="0"/>
                <w:szCs w:val="21"/>
              </w:rPr>
              <w:t>批复规模</w:t>
            </w:r>
          </w:p>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w:t>
            </w:r>
          </w:p>
        </w:tc>
        <w:tc>
          <w:tcPr>
            <w:tcW w:w="450" w:type="pct"/>
            <w:noWrap w:val="0"/>
            <w:vAlign w:val="center"/>
          </w:tcPr>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实际规模（㎡）</w:t>
            </w:r>
          </w:p>
        </w:tc>
        <w:tc>
          <w:tcPr>
            <w:tcW w:w="591" w:type="pct"/>
            <w:noWrap w:val="0"/>
            <w:vAlign w:val="center"/>
          </w:tcPr>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规模控制率</w:t>
            </w:r>
          </w:p>
        </w:tc>
        <w:tc>
          <w:tcPr>
            <w:tcW w:w="588" w:type="pct"/>
            <w:noWrap w:val="0"/>
            <w:vAlign w:val="center"/>
          </w:tcPr>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预算投资（万元）</w:t>
            </w:r>
          </w:p>
        </w:tc>
        <w:tc>
          <w:tcPr>
            <w:tcW w:w="510" w:type="pct"/>
            <w:noWrap w:val="0"/>
            <w:vAlign w:val="center"/>
          </w:tcPr>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实际投资（万元）</w:t>
            </w:r>
          </w:p>
        </w:tc>
        <w:tc>
          <w:tcPr>
            <w:tcW w:w="466" w:type="pct"/>
            <w:noWrap w:val="0"/>
            <w:vAlign w:val="center"/>
          </w:tcPr>
          <w:p>
            <w:pPr>
              <w:widowControl/>
              <w:spacing w:line="240" w:lineRule="exact"/>
              <w:jc w:val="center"/>
              <w:rPr>
                <w:rFonts w:hint="eastAsia" w:ascii="仿宋" w:hAnsi="仿宋" w:eastAsia="仿宋" w:cs="仿宋"/>
                <w:bCs/>
                <w:kern w:val="0"/>
                <w:szCs w:val="21"/>
              </w:rPr>
            </w:pPr>
            <w:r>
              <w:rPr>
                <w:rFonts w:hint="eastAsia" w:ascii="仿宋" w:hAnsi="仿宋" w:eastAsia="仿宋" w:cs="仿宋"/>
                <w:bCs/>
                <w:kern w:val="0"/>
                <w:szCs w:val="21"/>
              </w:rPr>
              <w:t>投资概算控制率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3" w:hRule="atLeast"/>
          <w:jc w:val="center"/>
        </w:trPr>
        <w:tc>
          <w:tcPr>
            <w:tcW w:w="1770" w:type="pct"/>
            <w:vMerge w:val="continue"/>
            <w:noWrap w:val="0"/>
            <w:vAlign w:val="center"/>
          </w:tcPr>
          <w:p>
            <w:pPr>
              <w:widowControl/>
              <w:jc w:val="left"/>
              <w:rPr>
                <w:rFonts w:hint="eastAsia" w:ascii="仿宋" w:hAnsi="仿宋" w:eastAsia="仿宋" w:cs="仿宋"/>
                <w:kern w:val="0"/>
                <w:szCs w:val="21"/>
              </w:rPr>
            </w:pPr>
          </w:p>
        </w:tc>
        <w:tc>
          <w:tcPr>
            <w:tcW w:w="623" w:type="pct"/>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450" w:type="pct"/>
            <w:noWrap w:val="0"/>
            <w:vAlign w:val="center"/>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591" w:type="pct"/>
            <w:noWrap w:val="0"/>
            <w:vAlign w:val="center"/>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588" w:type="pct"/>
            <w:noWrap w:val="0"/>
            <w:vAlign w:val="center"/>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510" w:type="pct"/>
            <w:noWrap w:val="0"/>
            <w:vAlign w:val="center"/>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466" w:type="pct"/>
            <w:noWrap w:val="0"/>
            <w:vAlign w:val="center"/>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6" w:hRule="atLeast"/>
          <w:jc w:val="center"/>
        </w:trPr>
        <w:tc>
          <w:tcPr>
            <w:tcW w:w="1770" w:type="pct"/>
            <w:noWrap w:val="0"/>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厉行节约保障措施</w:t>
            </w:r>
          </w:p>
        </w:tc>
        <w:tc>
          <w:tcPr>
            <w:tcW w:w="3229" w:type="pct"/>
            <w:gridSpan w:val="6"/>
            <w:noWrap w:val="0"/>
            <w:vAlign w:val="center"/>
          </w:tcPr>
          <w:p>
            <w:pPr>
              <w:widowControl/>
              <w:jc w:val="center"/>
              <w:rPr>
                <w:rFonts w:hint="eastAsia" w:ascii="仿宋" w:hAnsi="仿宋" w:eastAsia="仿宋" w:cs="仿宋"/>
                <w:kern w:val="0"/>
                <w:szCs w:val="21"/>
              </w:rPr>
            </w:pPr>
            <w:r>
              <w:rPr>
                <w:rFonts w:hint="eastAsia" w:eastAsia="方正仿宋_GBK"/>
                <w:kern w:val="0"/>
                <w:szCs w:val="21"/>
              </w:rPr>
              <w:t>按文件规定执行</w:t>
            </w:r>
            <w:r>
              <w:rPr>
                <w:rFonts w:hint="eastAsia" w:ascii="仿宋" w:hAnsi="仿宋" w:eastAsia="仿宋" w:cs="仿宋"/>
                <w:kern w:val="0"/>
                <w:szCs w:val="21"/>
              </w:rPr>
              <w:t>　</w:t>
            </w:r>
          </w:p>
        </w:tc>
      </w:tr>
    </w:tbl>
    <w:p>
      <w:pPr>
        <w:rPr>
          <w:rFonts w:hint="eastAsia" w:ascii="仿宋" w:hAnsi="仿宋" w:eastAsia="仿宋" w:cs="仿宋"/>
        </w:rPr>
      </w:pPr>
      <w:r>
        <w:rPr>
          <w:rFonts w:hint="eastAsia" w:ascii="仿宋" w:hAnsi="仿宋" w:eastAsia="仿宋" w:cs="仿宋"/>
        </w:rPr>
        <w:t>说明：“项目支出”需要填报基本支出以外的所有项目支出情况，“公用经费”填报基本支出中的一般商品和服务支出。</w:t>
      </w:r>
    </w:p>
    <w:p>
      <w:pPr>
        <w:widowControl/>
        <w:spacing w:after="156" w:afterLines="50" w:line="400" w:lineRule="exact"/>
        <w:jc w:val="left"/>
        <w:rPr>
          <w:rFonts w:hint="eastAsia" w:ascii="方正黑体_GBK" w:eastAsia="方正黑体_GBK"/>
          <w:kern w:val="0"/>
          <w:szCs w:val="21"/>
        </w:rPr>
        <w:sectPr>
          <w:pgSz w:w="11906" w:h="16838"/>
          <w:pgMar w:top="1985" w:right="1474" w:bottom="1474" w:left="1474" w:header="851" w:footer="1134" w:gutter="0"/>
          <w:cols w:space="720" w:num="1"/>
          <w:docGrid w:type="lines" w:linePitch="312" w:charSpace="0"/>
        </w:sectPr>
      </w:pPr>
      <w:r>
        <w:rPr>
          <w:rFonts w:hint="eastAsia" w:ascii="方正黑体_GBK" w:eastAsia="方正黑体_GBK"/>
          <w:kern w:val="0"/>
          <w:szCs w:val="21"/>
        </w:rPr>
        <w:t>填表人：</w:t>
      </w:r>
      <w:r>
        <w:rPr>
          <w:rFonts w:hint="eastAsia" w:ascii="方正黑体_GBK" w:eastAsia="方正黑体_GBK"/>
          <w:kern w:val="0"/>
          <w:szCs w:val="21"/>
          <w:lang w:val="en-US" w:eastAsia="zh-CN"/>
        </w:rPr>
        <w:t>杨泓</w:t>
      </w:r>
      <w:r>
        <w:rPr>
          <w:rFonts w:hint="eastAsia" w:ascii="方正黑体_GBK" w:eastAsia="方正黑体_GBK"/>
          <w:kern w:val="0"/>
          <w:szCs w:val="21"/>
        </w:rPr>
        <w:t xml:space="preserve">    填报日期：</w:t>
      </w:r>
      <w:r>
        <w:rPr>
          <w:rFonts w:hint="eastAsia" w:ascii="方正黑体_GBK" w:eastAsia="方正黑体_GBK"/>
          <w:kern w:val="0"/>
          <w:szCs w:val="21"/>
          <w:lang w:val="en-US" w:eastAsia="zh-CN"/>
        </w:rPr>
        <w:t>2022.4.28</w:t>
      </w:r>
      <w:r>
        <w:rPr>
          <w:rFonts w:hint="eastAsia" w:ascii="方正黑体_GBK" w:eastAsia="方正黑体_GBK"/>
          <w:kern w:val="0"/>
          <w:szCs w:val="21"/>
        </w:rPr>
        <w:t xml:space="preserve">     联系电话：</w:t>
      </w:r>
      <w:r>
        <w:rPr>
          <w:rFonts w:hint="eastAsia" w:ascii="方正黑体_GBK" w:eastAsia="方正黑体_GBK"/>
          <w:kern w:val="0"/>
          <w:szCs w:val="21"/>
          <w:lang w:val="en-US" w:eastAsia="zh-CN"/>
        </w:rPr>
        <w:t>0731-85693711</w:t>
      </w:r>
      <w:r>
        <w:rPr>
          <w:rFonts w:hint="eastAsia" w:ascii="方正黑体_GBK" w:eastAsia="方正黑体_GBK"/>
          <w:kern w:val="0"/>
          <w:szCs w:val="21"/>
        </w:rPr>
        <w:t xml:space="preserve"> 单位负责人签字：</w:t>
      </w:r>
    </w:p>
    <w:p>
      <w:pPr>
        <w:widowControl/>
        <w:spacing w:after="156" w:afterLines="50" w:line="400" w:lineRule="exact"/>
        <w:jc w:val="left"/>
        <w:rPr>
          <w:rFonts w:hint="eastAsia" w:eastAsia="方正黑体_GBK"/>
          <w:sz w:val="32"/>
          <w:szCs w:val="32"/>
        </w:rPr>
      </w:pPr>
      <w:r>
        <w:rPr>
          <w:rFonts w:hint="eastAsia" w:eastAsia="方正黑体_GBK"/>
          <w:sz w:val="32"/>
          <w:szCs w:val="32"/>
        </w:rPr>
        <w:t>附件3</w:t>
      </w:r>
    </w:p>
    <w:p>
      <w:pPr>
        <w:widowControl/>
        <w:spacing w:before="156" w:beforeLines="50" w:after="156" w:afterLines="50" w:line="600" w:lineRule="exact"/>
        <w:jc w:val="center"/>
        <w:rPr>
          <w:rFonts w:ascii="方正小标宋_GBK" w:hAnsi="宋体" w:eastAsia="方正小标宋_GBK" w:cs="宋体"/>
          <w:color w:val="000000"/>
          <w:kern w:val="0"/>
          <w:sz w:val="36"/>
          <w:szCs w:val="36"/>
        </w:rPr>
      </w:pPr>
      <w:r>
        <w:rPr>
          <w:rFonts w:ascii="方正小标宋_GBK" w:hAnsi="宋体" w:eastAsia="方正小标宋_GBK" w:cs="宋体"/>
          <w:color w:val="000000"/>
          <w:kern w:val="0"/>
          <w:sz w:val="36"/>
          <w:szCs w:val="36"/>
        </w:rPr>
        <w:t>202</w:t>
      </w:r>
      <w:r>
        <w:rPr>
          <w:rFonts w:hint="eastAsia" w:ascii="方正小标宋_GBK" w:hAnsi="宋体" w:eastAsia="方正小标宋_GBK" w:cs="宋体"/>
          <w:color w:val="000000"/>
          <w:kern w:val="0"/>
          <w:sz w:val="36"/>
          <w:szCs w:val="36"/>
          <w:lang w:val="en-US" w:eastAsia="zh-CN"/>
        </w:rPr>
        <w:t>1</w:t>
      </w:r>
      <w:r>
        <w:rPr>
          <w:rFonts w:ascii="方正小标宋_GBK" w:hAnsi="宋体" w:eastAsia="方正小标宋_GBK" w:cs="宋体"/>
          <w:color w:val="000000"/>
          <w:kern w:val="0"/>
          <w:sz w:val="36"/>
          <w:szCs w:val="36"/>
        </w:rPr>
        <w:t>年度</w:t>
      </w:r>
      <w:r>
        <w:rPr>
          <w:rFonts w:hint="eastAsia" w:ascii="方正小标宋_GBK" w:hAnsi="宋体" w:eastAsia="方正小标宋_GBK" w:cs="宋体"/>
          <w:color w:val="000000"/>
          <w:kern w:val="0"/>
          <w:sz w:val="36"/>
          <w:szCs w:val="36"/>
        </w:rPr>
        <w:t>单位</w:t>
      </w:r>
      <w:r>
        <w:rPr>
          <w:rFonts w:ascii="方正小标宋_GBK" w:hAnsi="宋体" w:eastAsia="方正小标宋_GBK" w:cs="宋体"/>
          <w:color w:val="000000"/>
          <w:kern w:val="0"/>
          <w:sz w:val="36"/>
          <w:szCs w:val="36"/>
        </w:rPr>
        <w:t>整体支出绩效自评表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74"/>
        <w:gridCol w:w="974"/>
        <w:gridCol w:w="860"/>
        <w:gridCol w:w="1132"/>
        <w:gridCol w:w="87"/>
        <w:gridCol w:w="1083"/>
        <w:gridCol w:w="1150"/>
        <w:gridCol w:w="640"/>
        <w:gridCol w:w="894"/>
        <w:gridCol w:w="1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省级预算部门名称</w:t>
            </w:r>
          </w:p>
        </w:tc>
        <w:tc>
          <w:tcPr>
            <w:tcW w:w="8040" w:type="dxa"/>
            <w:gridSpan w:val="9"/>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lang w:val="en-US" w:eastAsia="zh-CN"/>
              </w:rPr>
              <w:t>湖南省食品安全审评认证中心</w:t>
            </w: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年度预</w:t>
            </w:r>
          </w:p>
          <w:p>
            <w:pPr>
              <w:widowControl/>
              <w:spacing w:line="240" w:lineRule="exact"/>
              <w:jc w:val="center"/>
              <w:rPr>
                <w:rFonts w:hint="eastAsia" w:eastAsia="方正仿宋_GBK"/>
                <w:color w:val="000000"/>
                <w:kern w:val="0"/>
                <w:szCs w:val="21"/>
                <w:lang w:eastAsia="zh-CN"/>
              </w:rPr>
            </w:pPr>
            <w:r>
              <w:rPr>
                <w:rFonts w:hint="eastAsia" w:eastAsia="方正仿宋_GBK"/>
                <w:color w:val="000000"/>
                <w:kern w:val="0"/>
                <w:szCs w:val="21"/>
              </w:rPr>
              <w:t>算申请</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（万元）</w:t>
            </w:r>
          </w:p>
        </w:tc>
        <w:tc>
          <w:tcPr>
            <w:tcW w:w="1834" w:type="dxa"/>
            <w:gridSpan w:val="2"/>
            <w:noWrap w:val="0"/>
            <w:vAlign w:val="center"/>
          </w:tcPr>
          <w:p>
            <w:pPr>
              <w:spacing w:line="240" w:lineRule="exact"/>
              <w:jc w:val="center"/>
              <w:rPr>
                <w:rFonts w:hint="eastAsia" w:eastAsia="方正仿宋_GBK"/>
                <w:szCs w:val="21"/>
              </w:rPr>
            </w:pPr>
          </w:p>
        </w:tc>
        <w:tc>
          <w:tcPr>
            <w:tcW w:w="1132" w:type="dxa"/>
            <w:noWrap w:val="0"/>
            <w:vAlign w:val="center"/>
          </w:tcPr>
          <w:p>
            <w:pPr>
              <w:spacing w:line="240" w:lineRule="exact"/>
              <w:jc w:val="center"/>
              <w:rPr>
                <w:rFonts w:hint="eastAsia" w:eastAsia="方正仿宋_GBK"/>
                <w:szCs w:val="21"/>
              </w:rPr>
            </w:pPr>
            <w:r>
              <w:rPr>
                <w:rFonts w:hint="eastAsia" w:eastAsia="方正仿宋_GBK"/>
                <w:szCs w:val="21"/>
              </w:rPr>
              <w:t>年初</w:t>
            </w:r>
          </w:p>
          <w:p>
            <w:pPr>
              <w:spacing w:line="240" w:lineRule="exact"/>
              <w:jc w:val="center"/>
              <w:rPr>
                <w:rFonts w:hint="eastAsia" w:eastAsia="方正仿宋_GBK"/>
                <w:szCs w:val="21"/>
              </w:rPr>
            </w:pPr>
            <w:r>
              <w:rPr>
                <w:rFonts w:hint="eastAsia" w:eastAsia="方正仿宋_GBK"/>
                <w:szCs w:val="21"/>
              </w:rPr>
              <w:t>预算数</w:t>
            </w:r>
          </w:p>
        </w:tc>
        <w:tc>
          <w:tcPr>
            <w:tcW w:w="1170" w:type="dxa"/>
            <w:gridSpan w:val="2"/>
            <w:noWrap w:val="0"/>
            <w:vAlign w:val="center"/>
          </w:tcPr>
          <w:p>
            <w:pPr>
              <w:spacing w:line="240" w:lineRule="exact"/>
              <w:jc w:val="center"/>
              <w:rPr>
                <w:rFonts w:hint="eastAsia" w:eastAsia="方正仿宋_GBK"/>
                <w:szCs w:val="21"/>
              </w:rPr>
            </w:pPr>
            <w:r>
              <w:rPr>
                <w:rFonts w:hint="eastAsia" w:eastAsia="方正仿宋_GBK"/>
                <w:szCs w:val="21"/>
              </w:rPr>
              <w:t>全年预算数</w:t>
            </w:r>
          </w:p>
        </w:tc>
        <w:tc>
          <w:tcPr>
            <w:tcW w:w="1150" w:type="dxa"/>
            <w:noWrap w:val="0"/>
            <w:vAlign w:val="center"/>
          </w:tcPr>
          <w:p>
            <w:pPr>
              <w:spacing w:line="240" w:lineRule="exact"/>
              <w:jc w:val="center"/>
              <w:rPr>
                <w:rFonts w:hint="eastAsia" w:eastAsia="方正仿宋_GBK"/>
                <w:szCs w:val="21"/>
              </w:rPr>
            </w:pPr>
            <w:r>
              <w:rPr>
                <w:rFonts w:hint="eastAsia" w:eastAsia="方正仿宋_GBK"/>
                <w:szCs w:val="21"/>
              </w:rPr>
              <w:t>全年执行数</w:t>
            </w:r>
          </w:p>
        </w:tc>
        <w:tc>
          <w:tcPr>
            <w:tcW w:w="640" w:type="dxa"/>
            <w:noWrap w:val="0"/>
            <w:vAlign w:val="center"/>
          </w:tcPr>
          <w:p>
            <w:pPr>
              <w:spacing w:line="240" w:lineRule="exact"/>
              <w:jc w:val="center"/>
              <w:rPr>
                <w:rFonts w:hint="eastAsia" w:eastAsia="方正仿宋_GBK"/>
                <w:szCs w:val="21"/>
              </w:rPr>
            </w:pPr>
            <w:r>
              <w:rPr>
                <w:rFonts w:hint="eastAsia" w:eastAsia="方正仿宋_GBK"/>
                <w:szCs w:val="21"/>
              </w:rPr>
              <w:t>分值</w:t>
            </w:r>
          </w:p>
        </w:tc>
        <w:tc>
          <w:tcPr>
            <w:tcW w:w="894" w:type="dxa"/>
            <w:noWrap w:val="0"/>
            <w:vAlign w:val="center"/>
          </w:tcPr>
          <w:p>
            <w:pPr>
              <w:spacing w:line="240" w:lineRule="exact"/>
              <w:jc w:val="center"/>
              <w:rPr>
                <w:rFonts w:hint="eastAsia" w:eastAsia="方正仿宋_GBK"/>
                <w:szCs w:val="21"/>
              </w:rPr>
            </w:pPr>
            <w:r>
              <w:rPr>
                <w:rFonts w:hint="eastAsia" w:eastAsia="方正仿宋_GBK"/>
                <w:szCs w:val="21"/>
              </w:rPr>
              <w:t>执行率</w:t>
            </w:r>
          </w:p>
        </w:tc>
        <w:tc>
          <w:tcPr>
            <w:tcW w:w="1220" w:type="dxa"/>
            <w:noWrap w:val="0"/>
            <w:vAlign w:val="center"/>
          </w:tcPr>
          <w:p>
            <w:pPr>
              <w:spacing w:line="240" w:lineRule="exact"/>
              <w:jc w:val="center"/>
              <w:rPr>
                <w:rFonts w:hint="eastAsia" w:eastAsia="方正仿宋_GBK"/>
                <w:szCs w:val="21"/>
              </w:rPr>
            </w:pPr>
            <w:r>
              <w:rPr>
                <w:rFonts w:hint="eastAsia" w:eastAsia="方正仿宋_GBK"/>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center"/>
              <w:rPr>
                <w:rFonts w:hint="eastAsia" w:eastAsia="方正仿宋_GBK"/>
                <w:color w:val="000000"/>
                <w:kern w:val="0"/>
                <w:szCs w:val="21"/>
              </w:rPr>
            </w:pPr>
          </w:p>
        </w:tc>
        <w:tc>
          <w:tcPr>
            <w:tcW w:w="1834" w:type="dxa"/>
            <w:gridSpan w:val="2"/>
            <w:noWrap w:val="0"/>
            <w:vAlign w:val="center"/>
          </w:tcPr>
          <w:p>
            <w:pPr>
              <w:spacing w:line="240" w:lineRule="exact"/>
              <w:jc w:val="center"/>
              <w:rPr>
                <w:rFonts w:hint="eastAsia" w:eastAsia="方正仿宋_GBK"/>
                <w:szCs w:val="21"/>
              </w:rPr>
            </w:pPr>
            <w:r>
              <w:rPr>
                <w:rFonts w:hint="eastAsia" w:eastAsia="方正仿宋_GBK"/>
                <w:color w:val="000000"/>
                <w:kern w:val="0"/>
                <w:szCs w:val="21"/>
              </w:rPr>
              <w:t>年度资金总额</w:t>
            </w:r>
          </w:p>
        </w:tc>
        <w:tc>
          <w:tcPr>
            <w:tcW w:w="1132" w:type="dxa"/>
            <w:noWrap w:val="0"/>
            <w:vAlign w:val="center"/>
          </w:tcPr>
          <w:p>
            <w:pPr>
              <w:spacing w:line="240" w:lineRule="exact"/>
              <w:jc w:val="center"/>
              <w:rPr>
                <w:rFonts w:hint="default" w:eastAsia="方正仿宋_GBK"/>
                <w:szCs w:val="21"/>
                <w:lang w:val="en-US" w:eastAsia="zh-CN"/>
              </w:rPr>
            </w:pPr>
            <w:r>
              <w:rPr>
                <w:rFonts w:hint="eastAsia" w:eastAsia="方正仿宋_GBK"/>
                <w:szCs w:val="21"/>
                <w:lang w:val="en-US" w:eastAsia="zh-CN"/>
              </w:rPr>
              <w:t>553.27</w:t>
            </w:r>
          </w:p>
        </w:tc>
        <w:tc>
          <w:tcPr>
            <w:tcW w:w="1170" w:type="dxa"/>
            <w:gridSpan w:val="2"/>
            <w:noWrap w:val="0"/>
            <w:vAlign w:val="center"/>
          </w:tcPr>
          <w:p>
            <w:pPr>
              <w:spacing w:line="240" w:lineRule="exact"/>
              <w:jc w:val="center"/>
              <w:rPr>
                <w:rFonts w:hint="default" w:eastAsia="方正仿宋_GBK"/>
                <w:szCs w:val="21"/>
                <w:lang w:val="en-US" w:eastAsia="zh-CN"/>
              </w:rPr>
            </w:pPr>
            <w:r>
              <w:rPr>
                <w:rFonts w:hint="eastAsia" w:eastAsia="方正仿宋_GBK"/>
                <w:szCs w:val="21"/>
                <w:lang w:val="en-US" w:eastAsia="zh-CN"/>
              </w:rPr>
              <w:t>553.27</w:t>
            </w:r>
          </w:p>
        </w:tc>
        <w:tc>
          <w:tcPr>
            <w:tcW w:w="1150" w:type="dxa"/>
            <w:noWrap w:val="0"/>
            <w:vAlign w:val="center"/>
          </w:tcPr>
          <w:p>
            <w:pPr>
              <w:spacing w:line="240" w:lineRule="exact"/>
              <w:jc w:val="center"/>
              <w:rPr>
                <w:rFonts w:hint="default" w:eastAsia="方正仿宋_GBK"/>
                <w:szCs w:val="21"/>
                <w:lang w:val="en-US" w:eastAsia="zh-CN"/>
              </w:rPr>
            </w:pPr>
            <w:r>
              <w:rPr>
                <w:rFonts w:hint="eastAsia" w:eastAsia="方正仿宋_GBK"/>
                <w:szCs w:val="21"/>
                <w:lang w:val="en-US" w:eastAsia="zh-CN"/>
              </w:rPr>
              <w:t>524.02</w:t>
            </w:r>
          </w:p>
        </w:tc>
        <w:tc>
          <w:tcPr>
            <w:tcW w:w="640" w:type="dxa"/>
            <w:noWrap w:val="0"/>
            <w:vAlign w:val="center"/>
          </w:tcPr>
          <w:p>
            <w:pPr>
              <w:spacing w:line="240" w:lineRule="exact"/>
              <w:jc w:val="center"/>
              <w:rPr>
                <w:rFonts w:hint="eastAsia" w:eastAsia="方正仿宋_GBK"/>
                <w:szCs w:val="21"/>
              </w:rPr>
            </w:pPr>
            <w:r>
              <w:rPr>
                <w:rFonts w:hint="eastAsia" w:eastAsia="方正仿宋_GBK"/>
                <w:szCs w:val="21"/>
              </w:rPr>
              <w:t>10</w:t>
            </w:r>
          </w:p>
        </w:tc>
        <w:tc>
          <w:tcPr>
            <w:tcW w:w="894" w:type="dxa"/>
            <w:noWrap w:val="0"/>
            <w:vAlign w:val="center"/>
          </w:tcPr>
          <w:p>
            <w:pPr>
              <w:spacing w:line="240" w:lineRule="exact"/>
              <w:jc w:val="center"/>
              <w:rPr>
                <w:rFonts w:hint="eastAsia" w:eastAsia="方正仿宋_GBK"/>
                <w:szCs w:val="21"/>
                <w:lang w:val="en-US" w:eastAsia="zh-CN"/>
              </w:rPr>
            </w:pPr>
            <w:r>
              <w:rPr>
                <w:rFonts w:hint="eastAsia" w:eastAsia="方正仿宋_GBK"/>
                <w:szCs w:val="21"/>
                <w:lang w:val="en-US" w:eastAsia="zh-CN"/>
              </w:rPr>
              <w:t>94.71%</w:t>
            </w:r>
          </w:p>
        </w:tc>
        <w:tc>
          <w:tcPr>
            <w:tcW w:w="1220" w:type="dxa"/>
            <w:noWrap w:val="0"/>
            <w:vAlign w:val="center"/>
          </w:tcPr>
          <w:p>
            <w:pPr>
              <w:spacing w:line="240" w:lineRule="exact"/>
              <w:jc w:val="center"/>
              <w:rPr>
                <w:rFonts w:hint="default" w:eastAsia="方正仿宋_GBK"/>
                <w:szCs w:val="21"/>
                <w:lang w:val="en-US" w:eastAsia="zh-CN"/>
              </w:rPr>
            </w:pPr>
            <w:r>
              <w:rPr>
                <w:rFonts w:hint="eastAsia" w:eastAsia="方正仿宋_GBK"/>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left"/>
              <w:rPr>
                <w:rFonts w:hint="default" w:eastAsia="方正仿宋_GBK"/>
                <w:color w:val="000000"/>
                <w:kern w:val="0"/>
                <w:szCs w:val="21"/>
                <w:lang w:val="en-US" w:eastAsia="zh-CN"/>
              </w:rPr>
            </w:pPr>
            <w:r>
              <w:rPr>
                <w:rFonts w:hint="eastAsia" w:eastAsia="方正仿宋_GBK"/>
                <w:color w:val="000000"/>
                <w:kern w:val="0"/>
                <w:szCs w:val="21"/>
              </w:rPr>
              <w:t>按收入性质分：</w:t>
            </w:r>
            <w:r>
              <w:rPr>
                <w:rFonts w:hint="eastAsia" w:eastAsia="方正仿宋_GBK"/>
                <w:color w:val="000000"/>
                <w:kern w:val="0"/>
                <w:szCs w:val="21"/>
                <w:lang w:val="en-US" w:eastAsia="zh-CN"/>
              </w:rPr>
              <w:t>553.27</w:t>
            </w:r>
          </w:p>
        </w:tc>
        <w:tc>
          <w:tcPr>
            <w:tcW w:w="3904" w:type="dxa"/>
            <w:gridSpan w:val="4"/>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按支出性质分：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left"/>
              <w:rPr>
                <w:rFonts w:hint="default" w:eastAsia="方正仿宋_GBK"/>
                <w:color w:val="000000"/>
                <w:kern w:val="0"/>
                <w:szCs w:val="21"/>
                <w:lang w:val="en-US"/>
              </w:rPr>
            </w:pPr>
            <w:r>
              <w:rPr>
                <w:rFonts w:hint="eastAsia" w:eastAsia="方正仿宋_GBK"/>
                <w:color w:val="000000"/>
                <w:kern w:val="0"/>
                <w:szCs w:val="21"/>
              </w:rPr>
              <w:t xml:space="preserve">  其中：  一般公共预算：</w:t>
            </w:r>
            <w:r>
              <w:rPr>
                <w:rFonts w:hint="eastAsia" w:eastAsia="方正仿宋_GBK"/>
                <w:color w:val="000000"/>
                <w:kern w:val="0"/>
                <w:szCs w:val="21"/>
                <w:lang w:val="en-US" w:eastAsia="zh-CN"/>
              </w:rPr>
              <w:t>553.27</w:t>
            </w:r>
          </w:p>
        </w:tc>
        <w:tc>
          <w:tcPr>
            <w:tcW w:w="3904" w:type="dxa"/>
            <w:gridSpan w:val="4"/>
            <w:noWrap w:val="0"/>
            <w:vAlign w:val="center"/>
          </w:tcPr>
          <w:p>
            <w:pPr>
              <w:widowControl/>
              <w:spacing w:line="240" w:lineRule="exact"/>
              <w:jc w:val="left"/>
              <w:rPr>
                <w:rFonts w:hint="default" w:eastAsia="方正仿宋_GBK"/>
                <w:color w:val="000000"/>
                <w:kern w:val="0"/>
                <w:szCs w:val="21"/>
                <w:lang w:val="en-US"/>
              </w:rPr>
            </w:pPr>
            <w:r>
              <w:rPr>
                <w:rFonts w:hint="eastAsia" w:eastAsia="方正仿宋_GBK"/>
                <w:color w:val="000000"/>
                <w:kern w:val="0"/>
                <w:szCs w:val="21"/>
              </w:rPr>
              <w:t>其中：基本支出：</w:t>
            </w:r>
            <w:r>
              <w:rPr>
                <w:rFonts w:hint="eastAsia" w:eastAsia="方正仿宋_GBK"/>
                <w:color w:val="000000"/>
                <w:kern w:val="0"/>
                <w:szCs w:val="21"/>
                <w:lang w:val="en-US" w:eastAsia="zh-CN"/>
              </w:rPr>
              <w:t>369.17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政府性基金拨款：</w:t>
            </w:r>
          </w:p>
        </w:tc>
        <w:tc>
          <w:tcPr>
            <w:tcW w:w="3904" w:type="dxa"/>
            <w:gridSpan w:val="4"/>
            <w:noWrap w:val="0"/>
            <w:vAlign w:val="center"/>
          </w:tcPr>
          <w:p>
            <w:pPr>
              <w:widowControl/>
              <w:spacing w:line="240" w:lineRule="exact"/>
              <w:jc w:val="left"/>
              <w:rPr>
                <w:rFonts w:hint="default" w:eastAsia="方正仿宋_GBK"/>
                <w:color w:val="000000"/>
                <w:kern w:val="0"/>
                <w:szCs w:val="21"/>
                <w:lang w:val="en-US"/>
              </w:rPr>
            </w:pPr>
            <w:r>
              <w:rPr>
                <w:rFonts w:hint="eastAsia" w:eastAsia="方正仿宋_GBK"/>
                <w:color w:val="000000"/>
                <w:kern w:val="0"/>
                <w:szCs w:val="21"/>
              </w:rPr>
              <w:t>项目支出：</w:t>
            </w:r>
            <w:r>
              <w:rPr>
                <w:rFonts w:hint="eastAsia" w:eastAsia="方正仿宋_GBK"/>
                <w:color w:val="000000"/>
                <w:kern w:val="0"/>
                <w:szCs w:val="21"/>
                <w:lang w:val="en-US" w:eastAsia="zh-CN"/>
              </w:rPr>
              <w:t>154.85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纳入专户管理的非税收入拨款：</w:t>
            </w:r>
          </w:p>
        </w:tc>
        <w:tc>
          <w:tcPr>
            <w:tcW w:w="3904" w:type="dxa"/>
            <w:gridSpan w:val="4"/>
            <w:noWrap w:val="0"/>
            <w:vAlign w:val="center"/>
          </w:tcPr>
          <w:p>
            <w:pPr>
              <w:widowControl/>
              <w:spacing w:line="240" w:lineRule="exact"/>
              <w:jc w:val="left"/>
              <w:rPr>
                <w:rFonts w:hint="eastAsia" w:eastAsia="方正仿宋_GBK"/>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其他资金：</w:t>
            </w:r>
          </w:p>
        </w:tc>
        <w:tc>
          <w:tcPr>
            <w:tcW w:w="3904" w:type="dxa"/>
            <w:gridSpan w:val="4"/>
            <w:noWrap w:val="0"/>
            <w:vAlign w:val="center"/>
          </w:tcPr>
          <w:p>
            <w:pPr>
              <w:widowControl/>
              <w:spacing w:line="240" w:lineRule="exact"/>
              <w:jc w:val="left"/>
              <w:rPr>
                <w:rFonts w:hint="eastAsia" w:eastAsia="方正仿宋_GBK"/>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年度总体目标</w:t>
            </w:r>
          </w:p>
        </w:tc>
        <w:tc>
          <w:tcPr>
            <w:tcW w:w="4136" w:type="dxa"/>
            <w:gridSpan w:val="5"/>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预期目标</w:t>
            </w:r>
          </w:p>
        </w:tc>
        <w:tc>
          <w:tcPr>
            <w:tcW w:w="3904" w:type="dxa"/>
            <w:gridSpan w:val="4"/>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实际完成情况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widowControl/>
              <w:spacing w:line="240" w:lineRule="exact"/>
              <w:jc w:val="left"/>
              <w:rPr>
                <w:rFonts w:hint="eastAsia" w:eastAsia="方正仿宋_GBK"/>
                <w:color w:val="000000"/>
                <w:kern w:val="0"/>
                <w:szCs w:val="21"/>
              </w:rPr>
            </w:pPr>
          </w:p>
        </w:tc>
        <w:tc>
          <w:tcPr>
            <w:tcW w:w="4136" w:type="dxa"/>
            <w:gridSpan w:val="5"/>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lang w:val="en-US" w:eastAsia="zh-CN"/>
              </w:rPr>
              <w:t>553.27</w:t>
            </w:r>
            <w:r>
              <w:rPr>
                <w:rFonts w:hint="eastAsia" w:eastAsia="方正仿宋_GBK"/>
                <w:color w:val="000000"/>
                <w:kern w:val="0"/>
                <w:szCs w:val="21"/>
              </w:rPr>
              <w:t>　　</w:t>
            </w:r>
          </w:p>
        </w:tc>
        <w:tc>
          <w:tcPr>
            <w:tcW w:w="3904" w:type="dxa"/>
            <w:gridSpan w:val="4"/>
            <w:noWrap w:val="0"/>
            <w:vAlign w:val="center"/>
          </w:tcPr>
          <w:p>
            <w:pPr>
              <w:widowControl/>
              <w:spacing w:line="240" w:lineRule="exact"/>
              <w:jc w:val="left"/>
              <w:rPr>
                <w:rFonts w:hint="default" w:eastAsia="方正仿宋_GBK"/>
                <w:color w:val="000000"/>
                <w:kern w:val="0"/>
                <w:szCs w:val="21"/>
                <w:lang w:val="en-US" w:eastAsia="zh-CN"/>
              </w:rPr>
            </w:pPr>
            <w:r>
              <w:rPr>
                <w:rFonts w:hint="eastAsia" w:eastAsia="方正仿宋_GBK"/>
                <w:color w:val="000000"/>
                <w:kern w:val="0"/>
                <w:szCs w:val="21"/>
              </w:rPr>
              <w:t>　</w:t>
            </w:r>
            <w:r>
              <w:rPr>
                <w:rFonts w:hint="eastAsia" w:eastAsia="方正仿宋_GBK"/>
                <w:color w:val="000000"/>
                <w:kern w:val="0"/>
                <w:szCs w:val="21"/>
                <w:lang w:val="en-US" w:eastAsia="zh-CN"/>
              </w:rPr>
              <w:t xml:space="preserve">            524.02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绩效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974"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一级指标</w:t>
            </w: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二级</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1219" w:type="dxa"/>
            <w:gridSpan w:val="2"/>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三级指标</w:t>
            </w:r>
          </w:p>
        </w:tc>
        <w:tc>
          <w:tcPr>
            <w:tcW w:w="1083"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年度</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指标值</w:t>
            </w:r>
          </w:p>
        </w:tc>
        <w:tc>
          <w:tcPr>
            <w:tcW w:w="1150" w:type="dxa"/>
            <w:noWrap w:val="0"/>
            <w:vAlign w:val="center"/>
          </w:tcPr>
          <w:p>
            <w:pPr>
              <w:widowControl/>
              <w:spacing w:line="240" w:lineRule="exact"/>
              <w:rPr>
                <w:rFonts w:hint="eastAsia" w:eastAsia="方正仿宋_GBK"/>
                <w:color w:val="000000"/>
                <w:kern w:val="0"/>
                <w:szCs w:val="21"/>
              </w:rPr>
            </w:pPr>
            <w:r>
              <w:rPr>
                <w:rFonts w:hint="eastAsia" w:eastAsia="方正仿宋_GBK"/>
                <w:color w:val="000000"/>
                <w:kern w:val="0"/>
                <w:szCs w:val="21"/>
              </w:rPr>
              <w:t>际完成值</w:t>
            </w:r>
          </w:p>
        </w:tc>
        <w:tc>
          <w:tcPr>
            <w:tcW w:w="64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分值</w:t>
            </w:r>
          </w:p>
        </w:tc>
        <w:tc>
          <w:tcPr>
            <w:tcW w:w="894"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得分</w:t>
            </w:r>
          </w:p>
        </w:tc>
        <w:tc>
          <w:tcPr>
            <w:tcW w:w="122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偏差原因</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分析及</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产出指标</w:t>
            </w:r>
          </w:p>
          <w:p>
            <w:pPr>
              <w:widowControl/>
              <w:spacing w:line="240" w:lineRule="exact"/>
              <w:jc w:val="center"/>
              <w:rPr>
                <w:rFonts w:hint="eastAsia" w:eastAsia="方正仿宋_GBK"/>
                <w:color w:val="000000"/>
                <w:kern w:val="0"/>
                <w:szCs w:val="21"/>
              </w:rPr>
            </w:pP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(50分)</w:t>
            </w: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数量</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1219" w:type="dxa"/>
            <w:gridSpan w:val="2"/>
            <w:noWrap w:val="0"/>
            <w:vAlign w:val="center"/>
          </w:tcPr>
          <w:p>
            <w:pPr>
              <w:keepNext w:val="0"/>
              <w:keepLines w:val="0"/>
              <w:widowControl/>
              <w:suppressLineNumbers w:val="0"/>
              <w:jc w:val="left"/>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企业申报许可审查完成率及证后监督检查完成</w:t>
            </w:r>
          </w:p>
        </w:tc>
        <w:tc>
          <w:tcPr>
            <w:tcW w:w="1083"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100%</w:t>
            </w:r>
          </w:p>
        </w:tc>
        <w:tc>
          <w:tcPr>
            <w:tcW w:w="115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100%</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20</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20</w:t>
            </w:r>
          </w:p>
        </w:tc>
        <w:tc>
          <w:tcPr>
            <w:tcW w:w="122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continue"/>
            <w:noWrap w:val="0"/>
            <w:vAlign w:val="center"/>
          </w:tcPr>
          <w:p>
            <w:pPr>
              <w:spacing w:line="240" w:lineRule="exact"/>
              <w:jc w:val="left"/>
              <w:rPr>
                <w:rFonts w:hint="eastAsia" w:eastAsia="方正仿宋_GBK"/>
                <w:color w:val="000000"/>
                <w:kern w:val="0"/>
                <w:szCs w:val="21"/>
              </w:rPr>
            </w:pP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质量</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1219" w:type="dxa"/>
            <w:gridSpan w:val="2"/>
            <w:noWrap w:val="0"/>
            <w:vAlign w:val="center"/>
          </w:tcPr>
          <w:p>
            <w:pPr>
              <w:keepNext w:val="0"/>
              <w:keepLines w:val="0"/>
              <w:widowControl/>
              <w:suppressLineNumbers w:val="0"/>
              <w:jc w:val="left"/>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按《食品生产许可管理办法》《审查细则》要求</w:t>
            </w:r>
          </w:p>
        </w:tc>
        <w:tc>
          <w:tcPr>
            <w:tcW w:w="1083"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eastAsia="zh-CN"/>
              </w:rPr>
            </w:pPr>
            <w:r>
              <w:rPr>
                <w:rFonts w:hint="eastAsia" w:eastAsia="方正仿宋_GBK"/>
                <w:color w:val="000000"/>
                <w:kern w:val="0"/>
                <w:szCs w:val="21"/>
                <w:lang w:val="en-US" w:eastAsia="zh-CN"/>
              </w:rPr>
              <w:t>按文件要求质量完成</w:t>
            </w:r>
          </w:p>
        </w:tc>
        <w:tc>
          <w:tcPr>
            <w:tcW w:w="115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按文件要求质量完成</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continue"/>
            <w:noWrap w:val="0"/>
            <w:vAlign w:val="center"/>
          </w:tcPr>
          <w:p>
            <w:pPr>
              <w:spacing w:line="240" w:lineRule="exact"/>
              <w:jc w:val="left"/>
              <w:rPr>
                <w:rFonts w:hint="eastAsia" w:eastAsia="方正仿宋_GBK"/>
                <w:color w:val="000000"/>
                <w:kern w:val="0"/>
                <w:szCs w:val="21"/>
              </w:rPr>
            </w:pP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时效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1219" w:type="dxa"/>
            <w:gridSpan w:val="2"/>
            <w:noWrap w:val="0"/>
            <w:vAlign w:val="center"/>
          </w:tcPr>
          <w:p>
            <w:pPr>
              <w:keepNext w:val="0"/>
              <w:keepLines w:val="0"/>
              <w:widowControl/>
              <w:suppressLineNumbers w:val="0"/>
              <w:jc w:val="left"/>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按审查时限完成</w:t>
            </w:r>
          </w:p>
        </w:tc>
        <w:tc>
          <w:tcPr>
            <w:tcW w:w="1083"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100%</w:t>
            </w:r>
          </w:p>
        </w:tc>
        <w:tc>
          <w:tcPr>
            <w:tcW w:w="115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100%</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42"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continue"/>
            <w:noWrap w:val="0"/>
            <w:vAlign w:val="center"/>
          </w:tcPr>
          <w:p>
            <w:pPr>
              <w:spacing w:line="240" w:lineRule="exact"/>
              <w:jc w:val="left"/>
              <w:rPr>
                <w:rFonts w:hint="eastAsia" w:eastAsia="方正仿宋_GBK"/>
                <w:color w:val="000000"/>
                <w:kern w:val="0"/>
                <w:szCs w:val="21"/>
              </w:rPr>
            </w:pPr>
          </w:p>
        </w:tc>
        <w:tc>
          <w:tcPr>
            <w:tcW w:w="860"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成本</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1219" w:type="dxa"/>
            <w:gridSpan w:val="2"/>
            <w:noWrap w:val="0"/>
            <w:vAlign w:val="center"/>
          </w:tcPr>
          <w:p>
            <w:pPr>
              <w:keepNext w:val="0"/>
              <w:keepLines w:val="0"/>
              <w:widowControl/>
              <w:suppressLineNumbers w:val="0"/>
              <w:jc w:val="left"/>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按照《湖南省直机关培训费管理办法》《湖南盛省直机关差旅费管理办法》</w:t>
            </w:r>
          </w:p>
        </w:tc>
        <w:tc>
          <w:tcPr>
            <w:tcW w:w="1083"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按文件要求严控成本</w:t>
            </w:r>
          </w:p>
        </w:tc>
        <w:tc>
          <w:tcPr>
            <w:tcW w:w="115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eastAsia="zh-CN"/>
              </w:rPr>
            </w:pPr>
            <w:r>
              <w:rPr>
                <w:rFonts w:hint="eastAsia" w:eastAsia="方正仿宋_GBK"/>
                <w:color w:val="000000"/>
                <w:kern w:val="0"/>
                <w:szCs w:val="21"/>
                <w:lang w:val="en-US" w:eastAsia="zh-CN"/>
              </w:rPr>
              <w:t>按文件要求严控成本</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restart"/>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效益指标</w:t>
            </w:r>
          </w:p>
          <w:p>
            <w:pPr>
              <w:widowControl/>
              <w:spacing w:line="240" w:lineRule="exact"/>
              <w:jc w:val="left"/>
              <w:rPr>
                <w:rFonts w:hint="eastAsia" w:eastAsia="方正仿宋_GBK"/>
                <w:color w:val="000000"/>
                <w:kern w:val="0"/>
                <w:szCs w:val="21"/>
              </w:rPr>
            </w:pPr>
          </w:p>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（30分）</w:t>
            </w: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经济效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益指标</w:t>
            </w:r>
          </w:p>
        </w:tc>
        <w:tc>
          <w:tcPr>
            <w:tcW w:w="1219" w:type="dxa"/>
            <w:gridSpan w:val="2"/>
            <w:noWrap w:val="0"/>
            <w:vAlign w:val="center"/>
          </w:tcPr>
          <w:p>
            <w:pPr>
              <w:keepNext w:val="0"/>
              <w:keepLines w:val="0"/>
              <w:widowControl/>
              <w:suppressLineNumbers w:val="0"/>
              <w:jc w:val="left"/>
              <w:textAlignment w:val="center"/>
              <w:rPr>
                <w:rFonts w:hint="default" w:eastAsia="方正仿宋_GBK"/>
                <w:color w:val="000000"/>
                <w:kern w:val="0"/>
                <w:szCs w:val="21"/>
                <w:lang w:val="en-US" w:eastAsia="zh-CN"/>
              </w:rPr>
            </w:pPr>
            <w:r>
              <w:rPr>
                <w:rFonts w:hint="eastAsia" w:eastAsia="方正仿宋_GBK"/>
                <w:color w:val="000000"/>
                <w:kern w:val="0"/>
                <w:szCs w:val="21"/>
                <w:lang w:val="en-US" w:eastAsia="zh-CN"/>
              </w:rPr>
              <w:t>不适用</w:t>
            </w:r>
          </w:p>
        </w:tc>
        <w:tc>
          <w:tcPr>
            <w:tcW w:w="1083" w:type="dxa"/>
            <w:noWrap w:val="0"/>
            <w:vAlign w:val="center"/>
          </w:tcPr>
          <w:p>
            <w:pPr>
              <w:keepNext w:val="0"/>
              <w:keepLines w:val="0"/>
              <w:widowControl/>
              <w:suppressLineNumbers w:val="0"/>
              <w:jc w:val="center"/>
              <w:textAlignment w:val="center"/>
              <w:rPr>
                <w:rFonts w:hint="eastAsia" w:eastAsia="方正仿宋_GBK"/>
                <w:color w:val="000000"/>
                <w:kern w:val="0"/>
                <w:szCs w:val="21"/>
              </w:rPr>
            </w:pPr>
          </w:p>
        </w:tc>
        <w:tc>
          <w:tcPr>
            <w:tcW w:w="115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eastAsia="zh-CN"/>
              </w:rPr>
            </w:pPr>
          </w:p>
        </w:tc>
        <w:tc>
          <w:tcPr>
            <w:tcW w:w="64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p>
        </w:tc>
        <w:tc>
          <w:tcPr>
            <w:tcW w:w="894" w:type="dxa"/>
            <w:noWrap w:val="0"/>
            <w:vAlign w:val="center"/>
          </w:tcPr>
          <w:p>
            <w:pPr>
              <w:keepNext w:val="0"/>
              <w:keepLines w:val="0"/>
              <w:widowControl/>
              <w:suppressLineNumbers w:val="0"/>
              <w:jc w:val="center"/>
              <w:textAlignment w:val="center"/>
              <w:rPr>
                <w:rFonts w:hint="eastAsia" w:eastAsia="方正仿宋_GBK"/>
                <w:color w:val="000000"/>
                <w:kern w:val="0"/>
                <w:szCs w:val="21"/>
              </w:rPr>
            </w:pPr>
          </w:p>
        </w:tc>
        <w:tc>
          <w:tcPr>
            <w:tcW w:w="1220" w:type="dxa"/>
            <w:noWrap w:val="0"/>
            <w:vAlign w:val="center"/>
          </w:tcPr>
          <w:p>
            <w:pPr>
              <w:keepNext w:val="0"/>
              <w:keepLines w:val="0"/>
              <w:widowControl/>
              <w:suppressLineNumbers w:val="0"/>
              <w:jc w:val="left"/>
              <w:textAlignment w:val="center"/>
              <w:rPr>
                <w:rFonts w:hint="eastAsia" w:eastAsia="方正仿宋_GBK"/>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continue"/>
            <w:noWrap w:val="0"/>
            <w:vAlign w:val="center"/>
          </w:tcPr>
          <w:p>
            <w:pPr>
              <w:spacing w:line="240" w:lineRule="exact"/>
              <w:jc w:val="left"/>
              <w:rPr>
                <w:rFonts w:hint="eastAsia" w:eastAsia="方正仿宋_GBK"/>
                <w:color w:val="000000"/>
                <w:kern w:val="0"/>
                <w:szCs w:val="21"/>
              </w:rPr>
            </w:pP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社会效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益指标</w:t>
            </w:r>
          </w:p>
        </w:tc>
        <w:tc>
          <w:tcPr>
            <w:tcW w:w="1219" w:type="dxa"/>
            <w:gridSpan w:val="2"/>
            <w:noWrap w:val="0"/>
            <w:vAlign w:val="center"/>
          </w:tcPr>
          <w:p>
            <w:pPr>
              <w:keepNext w:val="0"/>
              <w:keepLines w:val="0"/>
              <w:widowControl/>
              <w:suppressLineNumbers w:val="0"/>
              <w:jc w:val="left"/>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大型源发性的食品安全事件</w:t>
            </w:r>
          </w:p>
        </w:tc>
        <w:tc>
          <w:tcPr>
            <w:tcW w:w="1083"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0</w:t>
            </w:r>
          </w:p>
        </w:tc>
        <w:tc>
          <w:tcPr>
            <w:tcW w:w="115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0</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15</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rPr>
            </w:pPr>
            <w:r>
              <w:rPr>
                <w:rFonts w:hint="eastAsia" w:ascii="仿宋" w:hAnsi="仿宋" w:eastAsia="仿宋" w:cs="仿宋"/>
                <w:i w:val="0"/>
                <w:color w:val="000000"/>
                <w:kern w:val="0"/>
                <w:sz w:val="21"/>
                <w:szCs w:val="21"/>
                <w:u w:val="none"/>
                <w:lang w:val="en-US" w:eastAsia="zh-CN" w:bidi="ar"/>
              </w:rPr>
              <w:t>15</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vMerge w:val="continue"/>
            <w:noWrap w:val="0"/>
            <w:vAlign w:val="center"/>
          </w:tcPr>
          <w:p>
            <w:pPr>
              <w:spacing w:line="240" w:lineRule="exact"/>
              <w:jc w:val="left"/>
              <w:rPr>
                <w:rFonts w:hint="eastAsia" w:eastAsia="方正仿宋_GBK"/>
                <w:color w:val="000000"/>
                <w:kern w:val="0"/>
                <w:szCs w:val="21"/>
              </w:rPr>
            </w:pP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生态效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益指标</w:t>
            </w:r>
          </w:p>
        </w:tc>
        <w:tc>
          <w:tcPr>
            <w:tcW w:w="1219" w:type="dxa"/>
            <w:gridSpan w:val="2"/>
            <w:noWrap w:val="0"/>
            <w:vAlign w:val="center"/>
          </w:tcPr>
          <w:p>
            <w:pPr>
              <w:keepNext w:val="0"/>
              <w:keepLines w:val="0"/>
              <w:widowControl/>
              <w:suppressLineNumbers w:val="0"/>
              <w:jc w:val="left"/>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通过制订食品药品检测相关的标准，保障食品药品的安全</w:t>
            </w:r>
          </w:p>
        </w:tc>
        <w:tc>
          <w:tcPr>
            <w:tcW w:w="1083"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安全</w:t>
            </w:r>
          </w:p>
        </w:tc>
        <w:tc>
          <w:tcPr>
            <w:tcW w:w="115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安全</w:t>
            </w:r>
          </w:p>
        </w:tc>
        <w:tc>
          <w:tcPr>
            <w:tcW w:w="640"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eastAsia="zh-CN"/>
              </w:rPr>
            </w:pPr>
            <w:r>
              <w:rPr>
                <w:rFonts w:hint="eastAsia" w:eastAsia="方正仿宋_GBK"/>
                <w:color w:val="000000"/>
                <w:kern w:val="0"/>
                <w:szCs w:val="21"/>
                <w:lang w:val="en-US" w:eastAsia="zh-CN"/>
              </w:rPr>
              <w:t>15</w:t>
            </w:r>
          </w:p>
        </w:tc>
        <w:tc>
          <w:tcPr>
            <w:tcW w:w="894" w:type="dxa"/>
            <w:noWrap w:val="0"/>
            <w:vAlign w:val="center"/>
          </w:tcPr>
          <w:p>
            <w:pPr>
              <w:keepNext w:val="0"/>
              <w:keepLines w:val="0"/>
              <w:widowControl/>
              <w:suppressLineNumbers w:val="0"/>
              <w:jc w:val="center"/>
              <w:textAlignment w:val="center"/>
              <w:rPr>
                <w:rFonts w:hint="default" w:eastAsia="方正仿宋_GBK"/>
                <w:color w:val="000000"/>
                <w:kern w:val="0"/>
                <w:szCs w:val="21"/>
                <w:lang w:val="en-US" w:eastAsia="zh-CN"/>
              </w:rPr>
            </w:pPr>
            <w:r>
              <w:rPr>
                <w:rFonts w:hint="eastAsia" w:eastAsia="方正仿宋_GBK"/>
                <w:color w:val="000000"/>
                <w:kern w:val="0"/>
                <w:szCs w:val="21"/>
                <w:lang w:val="en-US" w:eastAsia="zh-CN"/>
              </w:rPr>
              <w:t>15</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绩效</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tc>
        <w:tc>
          <w:tcPr>
            <w:tcW w:w="974"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可持续影响指标</w:t>
            </w:r>
          </w:p>
        </w:tc>
        <w:tc>
          <w:tcPr>
            <w:tcW w:w="1219" w:type="dxa"/>
            <w:gridSpan w:val="2"/>
            <w:noWrap w:val="0"/>
            <w:vAlign w:val="center"/>
          </w:tcPr>
          <w:p>
            <w:pPr>
              <w:widowControl/>
              <w:spacing w:line="240" w:lineRule="exact"/>
              <w:jc w:val="left"/>
              <w:rPr>
                <w:rFonts w:hint="eastAsia" w:eastAsia="方正仿宋_GBK"/>
                <w:color w:val="000000"/>
                <w:kern w:val="0"/>
                <w:szCs w:val="21"/>
                <w:lang w:eastAsia="zh-CN"/>
              </w:rPr>
            </w:pPr>
            <w:r>
              <w:rPr>
                <w:rFonts w:hint="eastAsia" w:eastAsia="方正仿宋_GBK"/>
                <w:color w:val="000000"/>
                <w:kern w:val="0"/>
                <w:szCs w:val="21"/>
                <w:lang w:val="en-US" w:eastAsia="zh-CN"/>
              </w:rPr>
              <w:t>不适用</w:t>
            </w:r>
          </w:p>
        </w:tc>
        <w:tc>
          <w:tcPr>
            <w:tcW w:w="1083" w:type="dxa"/>
            <w:noWrap w:val="0"/>
            <w:vAlign w:val="center"/>
          </w:tcPr>
          <w:p>
            <w:pPr>
              <w:widowControl/>
              <w:spacing w:line="240" w:lineRule="exact"/>
              <w:jc w:val="left"/>
              <w:rPr>
                <w:rFonts w:hint="default" w:eastAsia="方正仿宋_GBK"/>
                <w:color w:val="000000"/>
                <w:kern w:val="0"/>
                <w:szCs w:val="21"/>
                <w:lang w:val="en-US" w:eastAsia="zh-CN"/>
              </w:rPr>
            </w:pPr>
            <w:r>
              <w:rPr>
                <w:rFonts w:hint="eastAsia" w:eastAsia="方正仿宋_GBK"/>
                <w:color w:val="000000"/>
                <w:kern w:val="0"/>
                <w:szCs w:val="21"/>
              </w:rPr>
              <w:t>　</w:t>
            </w:r>
            <w:r>
              <w:rPr>
                <w:rFonts w:hint="eastAsia" w:eastAsia="方正仿宋_GBK"/>
                <w:color w:val="000000"/>
                <w:kern w:val="0"/>
                <w:szCs w:val="21"/>
                <w:lang w:val="en-US" w:eastAsia="zh-CN"/>
              </w:rPr>
              <w:t>不适用</w:t>
            </w:r>
          </w:p>
        </w:tc>
        <w:tc>
          <w:tcPr>
            <w:tcW w:w="115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c>
          <w:tcPr>
            <w:tcW w:w="64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c>
          <w:tcPr>
            <w:tcW w:w="894"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74" w:type="dxa"/>
            <w:vMerge w:val="continue"/>
            <w:noWrap w:val="0"/>
            <w:vAlign w:val="center"/>
          </w:tcPr>
          <w:p>
            <w:pPr>
              <w:spacing w:line="240" w:lineRule="exact"/>
              <w:jc w:val="left"/>
              <w:rPr>
                <w:rFonts w:hint="eastAsia" w:eastAsia="方正仿宋_GBK"/>
                <w:color w:val="000000"/>
                <w:kern w:val="0"/>
                <w:szCs w:val="21"/>
              </w:rPr>
            </w:pPr>
          </w:p>
        </w:tc>
        <w:tc>
          <w:tcPr>
            <w:tcW w:w="974"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满意度</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（10分）</w:t>
            </w:r>
          </w:p>
        </w:tc>
        <w:tc>
          <w:tcPr>
            <w:tcW w:w="86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服务对象满意度指标</w:t>
            </w:r>
          </w:p>
        </w:tc>
        <w:tc>
          <w:tcPr>
            <w:tcW w:w="1219" w:type="dxa"/>
            <w:gridSpan w:val="2"/>
            <w:noWrap w:val="0"/>
            <w:vAlign w:val="center"/>
          </w:tcPr>
          <w:p>
            <w:pPr>
              <w:keepNext w:val="0"/>
              <w:keepLines w:val="0"/>
              <w:widowControl/>
              <w:suppressLineNumbers w:val="0"/>
              <w:jc w:val="left"/>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社会公众或服务对象是指部门</w:t>
            </w:r>
          </w:p>
        </w:tc>
        <w:tc>
          <w:tcPr>
            <w:tcW w:w="1083"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≥90%</w:t>
            </w:r>
          </w:p>
        </w:tc>
        <w:tc>
          <w:tcPr>
            <w:tcW w:w="115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100%</w:t>
            </w:r>
          </w:p>
        </w:tc>
        <w:tc>
          <w:tcPr>
            <w:tcW w:w="640"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w:t>
            </w:r>
          </w:p>
        </w:tc>
        <w:tc>
          <w:tcPr>
            <w:tcW w:w="894" w:type="dxa"/>
            <w:noWrap w:val="0"/>
            <w:vAlign w:val="center"/>
          </w:tcPr>
          <w:p>
            <w:pPr>
              <w:keepNext w:val="0"/>
              <w:keepLines w:val="0"/>
              <w:widowControl/>
              <w:suppressLineNumbers w:val="0"/>
              <w:jc w:val="center"/>
              <w:textAlignment w:val="center"/>
              <w:rPr>
                <w:rFonts w:hint="eastAsia" w:eastAsia="方正仿宋_GBK"/>
                <w:color w:val="000000"/>
                <w:kern w:val="0"/>
                <w:szCs w:val="21"/>
              </w:rPr>
            </w:pPr>
            <w:r>
              <w:rPr>
                <w:rFonts w:hint="eastAsia" w:ascii="仿宋" w:hAnsi="仿宋" w:eastAsia="仿宋" w:cs="仿宋"/>
                <w:i w:val="0"/>
                <w:color w:val="000000"/>
                <w:kern w:val="0"/>
                <w:sz w:val="21"/>
                <w:szCs w:val="21"/>
                <w:u w:val="none"/>
                <w:lang w:val="en-US" w:eastAsia="zh-CN" w:bidi="ar"/>
              </w:rPr>
              <w:t>10</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6260" w:type="dxa"/>
            <w:gridSpan w:val="7"/>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总分</w:t>
            </w:r>
          </w:p>
        </w:tc>
        <w:tc>
          <w:tcPr>
            <w:tcW w:w="640"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100</w:t>
            </w:r>
          </w:p>
        </w:tc>
        <w:tc>
          <w:tcPr>
            <w:tcW w:w="894" w:type="dxa"/>
            <w:noWrap w:val="0"/>
            <w:vAlign w:val="center"/>
          </w:tcPr>
          <w:p>
            <w:pPr>
              <w:widowControl/>
              <w:spacing w:line="240" w:lineRule="exact"/>
              <w:jc w:val="left"/>
              <w:rPr>
                <w:rFonts w:hint="default" w:eastAsia="方正仿宋_GBK"/>
                <w:color w:val="000000"/>
                <w:kern w:val="0"/>
                <w:szCs w:val="21"/>
                <w:lang w:val="en-US"/>
              </w:rPr>
            </w:pPr>
            <w:r>
              <w:rPr>
                <w:rFonts w:hint="eastAsia" w:eastAsia="方正仿宋_GBK"/>
                <w:color w:val="000000"/>
                <w:kern w:val="0"/>
                <w:szCs w:val="21"/>
              </w:rPr>
              <w:t>　</w:t>
            </w:r>
            <w:r>
              <w:rPr>
                <w:rFonts w:hint="eastAsia" w:eastAsia="方正仿宋_GBK"/>
                <w:color w:val="000000"/>
                <w:kern w:val="0"/>
                <w:szCs w:val="21"/>
                <w:lang w:val="en-US" w:eastAsia="zh-CN"/>
              </w:rPr>
              <w:t>100</w:t>
            </w:r>
          </w:p>
        </w:tc>
        <w:tc>
          <w:tcPr>
            <w:tcW w:w="1220" w:type="dxa"/>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　</w:t>
            </w:r>
          </w:p>
        </w:tc>
      </w:tr>
    </w:tbl>
    <w:p>
      <w:pPr>
        <w:widowControl/>
        <w:spacing w:line="240" w:lineRule="exact"/>
        <w:jc w:val="left"/>
        <w:rPr>
          <w:rFonts w:eastAsia="仿宋_GB2312"/>
          <w:kern w:val="0"/>
          <w:szCs w:val="21"/>
        </w:rPr>
      </w:pPr>
    </w:p>
    <w:p>
      <w:pPr>
        <w:widowControl/>
        <w:jc w:val="left"/>
        <w:rPr>
          <w:rFonts w:hint="eastAsia" w:eastAsia="方正黑体_GBK"/>
          <w:sz w:val="32"/>
          <w:szCs w:val="32"/>
          <w:lang w:val="en-US" w:eastAsia="zh-CN"/>
        </w:rPr>
      </w:pPr>
      <w:r>
        <w:rPr>
          <w:rFonts w:ascii="方正仿宋_GBK" w:eastAsia="方正仿宋_GBK"/>
          <w:kern w:val="0"/>
          <w:szCs w:val="21"/>
        </w:rPr>
        <w:t>填表人：</w:t>
      </w:r>
      <w:r>
        <w:rPr>
          <w:rFonts w:hint="eastAsia" w:ascii="方正仿宋_GBK" w:eastAsia="方正仿宋_GBK"/>
          <w:kern w:val="0"/>
          <w:szCs w:val="21"/>
          <w:lang w:val="en-US" w:eastAsia="zh-CN"/>
        </w:rPr>
        <w:t>杨泓</w:t>
      </w:r>
      <w:r>
        <w:rPr>
          <w:rFonts w:ascii="方正仿宋_GBK" w:eastAsia="方正仿宋_GBK"/>
          <w:kern w:val="0"/>
          <w:szCs w:val="21"/>
        </w:rPr>
        <w:t xml:space="preserve">    填报日期：</w:t>
      </w:r>
      <w:r>
        <w:rPr>
          <w:rFonts w:hint="eastAsia" w:ascii="方正仿宋_GBK" w:eastAsia="方正仿宋_GBK"/>
          <w:kern w:val="0"/>
          <w:szCs w:val="21"/>
          <w:lang w:val="en-US" w:eastAsia="zh-CN"/>
        </w:rPr>
        <w:t>2022.4.28</w:t>
      </w:r>
      <w:r>
        <w:rPr>
          <w:rFonts w:ascii="方正仿宋_GBK" w:eastAsia="方正仿宋_GBK"/>
          <w:kern w:val="0"/>
          <w:szCs w:val="21"/>
        </w:rPr>
        <w:t xml:space="preserve">   联系电话：</w:t>
      </w:r>
      <w:r>
        <w:rPr>
          <w:rFonts w:hint="eastAsia" w:ascii="方正黑体_GBK" w:eastAsia="方正黑体_GBK"/>
          <w:kern w:val="0"/>
          <w:szCs w:val="21"/>
          <w:lang w:val="en-US" w:eastAsia="zh-CN"/>
        </w:rPr>
        <w:t>0731-85693711</w:t>
      </w:r>
      <w:r>
        <w:rPr>
          <w:rFonts w:ascii="方正仿宋_GBK" w:eastAsia="方正仿宋_GBK"/>
          <w:kern w:val="0"/>
          <w:szCs w:val="21"/>
        </w:rPr>
        <w:t xml:space="preserve">  单位负责人签字：</w:t>
      </w:r>
      <w:r>
        <w:rPr>
          <w:rFonts w:eastAsia="仿宋_GB2312"/>
          <w:kern w:val="0"/>
          <w:szCs w:val="21"/>
        </w:rPr>
        <w:br w:type="page"/>
      </w:r>
      <w:r>
        <w:rPr>
          <w:rFonts w:hint="eastAsia" w:eastAsia="方正黑体_GBK"/>
          <w:sz w:val="32"/>
          <w:szCs w:val="32"/>
        </w:rPr>
        <w:t>附件</w:t>
      </w:r>
      <w:r>
        <w:rPr>
          <w:rFonts w:hint="eastAsia" w:eastAsia="方正黑体_GBK"/>
          <w:sz w:val="32"/>
          <w:szCs w:val="32"/>
          <w:lang w:val="en-US" w:eastAsia="zh-CN"/>
        </w:rPr>
        <w:t>4</w:t>
      </w:r>
    </w:p>
    <w:p>
      <w:pPr>
        <w:widowControl/>
        <w:spacing w:before="156" w:beforeLines="50" w:after="156" w:afterLines="50" w:line="600" w:lineRule="exact"/>
        <w:jc w:val="center"/>
        <w:rPr>
          <w:rFonts w:hint="eastAsia"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w:t>
      </w:r>
      <w:r>
        <w:rPr>
          <w:rFonts w:hint="eastAsia" w:ascii="方正小标宋_GBK" w:hAnsi="宋体" w:eastAsia="方正小标宋_GBK" w:cs="宋体"/>
          <w:color w:val="000000"/>
          <w:kern w:val="0"/>
          <w:sz w:val="36"/>
          <w:szCs w:val="36"/>
          <w:lang w:val="en-US" w:eastAsia="zh-CN"/>
        </w:rPr>
        <w:t>1</w:t>
      </w:r>
      <w:r>
        <w:rPr>
          <w:rFonts w:hint="eastAsia" w:ascii="方正小标宋_GBK" w:hAnsi="宋体" w:eastAsia="方正小标宋_GBK" w:cs="宋体"/>
          <w:color w:val="000000"/>
          <w:kern w:val="0"/>
          <w:sz w:val="36"/>
          <w:szCs w:val="36"/>
        </w:rPr>
        <w:t>年度项目支出绩效自评表（业务工作经费）</w:t>
      </w:r>
    </w:p>
    <w:p>
      <w:pPr>
        <w:widowControl/>
        <w:spacing w:after="156" w:afterLines="50" w:line="400" w:lineRule="exact"/>
        <w:jc w:val="left"/>
        <w:rPr>
          <w:rFonts w:hint="default" w:eastAsia="方正仿宋_GBK"/>
          <w:color w:val="000000"/>
          <w:kern w:val="0"/>
          <w:szCs w:val="21"/>
          <w:lang w:val="en-US" w:eastAsia="zh-CN"/>
        </w:rPr>
      </w:pPr>
      <w:r>
        <w:rPr>
          <w:rFonts w:hint="eastAsia" w:eastAsia="方正仿宋_GBK"/>
          <w:color w:val="000000"/>
          <w:kern w:val="0"/>
          <w:szCs w:val="21"/>
        </w:rPr>
        <w:t>单位名称：</w:t>
      </w:r>
      <w:r>
        <w:rPr>
          <w:rFonts w:hint="eastAsia" w:eastAsia="方正仿宋_GBK"/>
          <w:color w:val="000000"/>
          <w:kern w:val="0"/>
          <w:szCs w:val="21"/>
          <w:lang w:val="en-US" w:eastAsia="zh-CN"/>
        </w:rPr>
        <w:t>湖南省食品安全审评认证中心</w:t>
      </w:r>
    </w:p>
    <w:tbl>
      <w:tblPr>
        <w:tblStyle w:val="8"/>
        <w:tblW w:w="90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88"/>
        <w:gridCol w:w="988"/>
        <w:gridCol w:w="988"/>
        <w:gridCol w:w="1120"/>
        <w:gridCol w:w="1038"/>
        <w:gridCol w:w="1038"/>
        <w:gridCol w:w="757"/>
        <w:gridCol w:w="799"/>
        <w:gridCol w:w="13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项目支</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出名称</w:t>
            </w:r>
          </w:p>
        </w:tc>
        <w:tc>
          <w:tcPr>
            <w:tcW w:w="8109" w:type="dxa"/>
            <w:gridSpan w:val="8"/>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业务工作经费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主管部门</w:t>
            </w:r>
          </w:p>
        </w:tc>
        <w:tc>
          <w:tcPr>
            <w:tcW w:w="4134" w:type="dxa"/>
            <w:gridSpan w:val="4"/>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rPr>
              <w:t>　</w:t>
            </w:r>
            <w:r>
              <w:rPr>
                <w:rFonts w:hint="eastAsia" w:eastAsia="方正仿宋_GBK" w:cs="宋体"/>
                <w:color w:val="000000"/>
                <w:kern w:val="0"/>
                <w:szCs w:val="21"/>
                <w:lang w:val="en-US" w:eastAsia="zh-CN"/>
              </w:rPr>
              <w:t>湖南省市场监督管理局</w:t>
            </w:r>
          </w:p>
        </w:tc>
        <w:tc>
          <w:tcPr>
            <w:tcW w:w="103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实施单位</w:t>
            </w:r>
          </w:p>
        </w:tc>
        <w:tc>
          <w:tcPr>
            <w:tcW w:w="2937" w:type="dxa"/>
            <w:gridSpan w:val="3"/>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r>
              <w:rPr>
                <w:rFonts w:hint="eastAsia" w:ascii="仿宋" w:hAnsi="仿宋" w:eastAsia="仿宋" w:cs="仿宋"/>
                <w:color w:val="000000"/>
                <w:kern w:val="0"/>
                <w:szCs w:val="21"/>
                <w:lang w:eastAsia="zh-CN"/>
              </w:rPr>
              <w:t>湖南省食品安全审评认证中心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restart"/>
            <w:noWrap w:val="0"/>
            <w:vAlign w:val="center"/>
          </w:tcPr>
          <w:p>
            <w:pPr>
              <w:widowControl/>
              <w:spacing w:line="260" w:lineRule="exact"/>
              <w:jc w:val="center"/>
              <w:rPr>
                <w:rFonts w:hint="eastAsia" w:eastAsia="方正仿宋_GBK" w:cs="宋体"/>
                <w:color w:val="000000"/>
                <w:kern w:val="0"/>
                <w:szCs w:val="21"/>
                <w:lang w:eastAsia="zh-CN"/>
              </w:rPr>
            </w:pPr>
            <w:r>
              <w:rPr>
                <w:rFonts w:hint="eastAsia" w:eastAsia="方正仿宋_GBK" w:cs="宋体"/>
                <w:color w:val="000000"/>
                <w:kern w:val="0"/>
                <w:szCs w:val="21"/>
              </w:rPr>
              <w:t>项目资金</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（万元）</w:t>
            </w:r>
          </w:p>
        </w:tc>
        <w:tc>
          <w:tcPr>
            <w:tcW w:w="1976" w:type="dxa"/>
            <w:gridSpan w:val="2"/>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120"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年初</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预算数</w:t>
            </w:r>
          </w:p>
        </w:tc>
        <w:tc>
          <w:tcPr>
            <w:tcW w:w="103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全年</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预算数</w:t>
            </w:r>
          </w:p>
        </w:tc>
        <w:tc>
          <w:tcPr>
            <w:tcW w:w="1038" w:type="dxa"/>
            <w:noWrap w:val="0"/>
            <w:vAlign w:val="center"/>
          </w:tcPr>
          <w:p>
            <w:pPr>
              <w:spacing w:line="260" w:lineRule="exact"/>
              <w:jc w:val="center"/>
              <w:rPr>
                <w:rFonts w:hint="eastAsia" w:eastAsia="方正仿宋_GBK"/>
                <w:szCs w:val="21"/>
              </w:rPr>
            </w:pPr>
            <w:r>
              <w:rPr>
                <w:rFonts w:hint="eastAsia" w:eastAsia="方正仿宋_GBK"/>
                <w:szCs w:val="21"/>
              </w:rPr>
              <w:t>全年</w:t>
            </w:r>
          </w:p>
          <w:p>
            <w:pPr>
              <w:spacing w:line="260" w:lineRule="exact"/>
              <w:jc w:val="center"/>
              <w:rPr>
                <w:rFonts w:hint="eastAsia" w:eastAsia="方正仿宋_GBK"/>
                <w:szCs w:val="21"/>
              </w:rPr>
            </w:pPr>
            <w:r>
              <w:rPr>
                <w:rFonts w:hint="eastAsia" w:eastAsia="方正仿宋_GBK"/>
                <w:szCs w:val="21"/>
              </w:rPr>
              <w:t>执行数</w:t>
            </w:r>
          </w:p>
        </w:tc>
        <w:tc>
          <w:tcPr>
            <w:tcW w:w="757" w:type="dxa"/>
            <w:noWrap w:val="0"/>
            <w:vAlign w:val="center"/>
          </w:tcPr>
          <w:p>
            <w:pPr>
              <w:spacing w:line="260" w:lineRule="exact"/>
              <w:jc w:val="center"/>
              <w:rPr>
                <w:rFonts w:hint="eastAsia" w:eastAsia="方正仿宋_GBK"/>
                <w:szCs w:val="21"/>
              </w:rPr>
            </w:pPr>
            <w:r>
              <w:rPr>
                <w:rFonts w:hint="eastAsia" w:eastAsia="方正仿宋_GBK"/>
                <w:szCs w:val="21"/>
              </w:rPr>
              <w:t>分值</w:t>
            </w:r>
          </w:p>
        </w:tc>
        <w:tc>
          <w:tcPr>
            <w:tcW w:w="799" w:type="dxa"/>
            <w:noWrap w:val="0"/>
            <w:vAlign w:val="center"/>
          </w:tcPr>
          <w:p>
            <w:pPr>
              <w:spacing w:line="260" w:lineRule="exact"/>
              <w:jc w:val="center"/>
              <w:rPr>
                <w:rFonts w:hint="eastAsia" w:eastAsia="方正仿宋_GBK"/>
                <w:szCs w:val="21"/>
              </w:rPr>
            </w:pPr>
            <w:r>
              <w:rPr>
                <w:rFonts w:hint="eastAsia" w:eastAsia="方正仿宋_GBK"/>
                <w:szCs w:val="21"/>
              </w:rPr>
              <w:t>执行率</w:t>
            </w:r>
          </w:p>
        </w:tc>
        <w:tc>
          <w:tcPr>
            <w:tcW w:w="1381" w:type="dxa"/>
            <w:noWrap w:val="0"/>
            <w:vAlign w:val="center"/>
          </w:tcPr>
          <w:p>
            <w:pPr>
              <w:spacing w:line="260" w:lineRule="exact"/>
              <w:jc w:val="center"/>
              <w:rPr>
                <w:rFonts w:hint="eastAsia" w:eastAsia="方正仿宋_GBK"/>
                <w:szCs w:val="21"/>
              </w:rPr>
            </w:pPr>
            <w:r>
              <w:rPr>
                <w:rFonts w:hint="eastAsia" w:eastAsia="方正仿宋_GBK"/>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widowControl/>
              <w:spacing w:line="260" w:lineRule="exact"/>
              <w:jc w:val="left"/>
              <w:rPr>
                <w:rFonts w:hint="eastAsia" w:eastAsia="方正仿宋_GBK" w:cs="宋体"/>
                <w:color w:val="000000"/>
                <w:kern w:val="0"/>
                <w:szCs w:val="21"/>
              </w:rPr>
            </w:pPr>
          </w:p>
        </w:tc>
        <w:tc>
          <w:tcPr>
            <w:tcW w:w="1976" w:type="dxa"/>
            <w:gridSpan w:val="2"/>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年度资金总额　</w:t>
            </w:r>
          </w:p>
        </w:tc>
        <w:tc>
          <w:tcPr>
            <w:tcW w:w="1120" w:type="dxa"/>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29.4</w:t>
            </w:r>
          </w:p>
        </w:tc>
        <w:tc>
          <w:tcPr>
            <w:tcW w:w="1038" w:type="dxa"/>
            <w:noWrap w:val="0"/>
            <w:vAlign w:val="center"/>
          </w:tcPr>
          <w:p>
            <w:pPr>
              <w:widowControl/>
              <w:spacing w:line="260" w:lineRule="exact"/>
              <w:jc w:val="left"/>
              <w:rPr>
                <w:rFonts w:hint="default" w:eastAsia="方正仿宋_GBK" w:cs="宋体"/>
                <w:color w:val="000000"/>
                <w:kern w:val="0"/>
                <w:szCs w:val="21"/>
                <w:lang w:val="en-US"/>
              </w:rPr>
            </w:pPr>
            <w:r>
              <w:rPr>
                <w:rFonts w:hint="eastAsia" w:eastAsia="方正仿宋_GBK" w:cs="宋体"/>
                <w:color w:val="000000"/>
                <w:kern w:val="0"/>
                <w:szCs w:val="21"/>
              </w:rPr>
              <w:t>　</w:t>
            </w:r>
            <w:r>
              <w:rPr>
                <w:rFonts w:hint="eastAsia" w:eastAsia="方正仿宋_GBK" w:cs="宋体"/>
                <w:color w:val="000000"/>
                <w:kern w:val="0"/>
                <w:szCs w:val="21"/>
                <w:lang w:val="en-US" w:eastAsia="zh-CN"/>
              </w:rPr>
              <w:t>29.4</w:t>
            </w:r>
          </w:p>
        </w:tc>
        <w:tc>
          <w:tcPr>
            <w:tcW w:w="1038" w:type="dxa"/>
            <w:noWrap w:val="0"/>
            <w:vAlign w:val="center"/>
          </w:tcPr>
          <w:p>
            <w:pPr>
              <w:widowControl/>
              <w:spacing w:line="260" w:lineRule="exact"/>
              <w:jc w:val="left"/>
              <w:rPr>
                <w:rFonts w:hint="default" w:eastAsia="方正仿宋_GBK" w:cs="宋体"/>
                <w:color w:val="000000"/>
                <w:kern w:val="0"/>
                <w:szCs w:val="21"/>
                <w:lang w:val="en-US"/>
              </w:rPr>
            </w:pPr>
            <w:r>
              <w:rPr>
                <w:rFonts w:hint="eastAsia" w:eastAsia="方正仿宋_GBK" w:cs="宋体"/>
                <w:color w:val="000000"/>
                <w:kern w:val="0"/>
                <w:szCs w:val="21"/>
              </w:rPr>
              <w:t>　</w:t>
            </w:r>
            <w:r>
              <w:rPr>
                <w:rFonts w:hint="eastAsia" w:eastAsia="方正仿宋_GBK" w:cs="宋体"/>
                <w:color w:val="000000"/>
                <w:kern w:val="0"/>
                <w:szCs w:val="21"/>
                <w:lang w:val="en-US" w:eastAsia="zh-CN"/>
              </w:rPr>
              <w:t>24.8</w:t>
            </w:r>
          </w:p>
        </w:tc>
        <w:tc>
          <w:tcPr>
            <w:tcW w:w="757"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10</w:t>
            </w:r>
          </w:p>
        </w:tc>
        <w:tc>
          <w:tcPr>
            <w:tcW w:w="799" w:type="dxa"/>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84.35%</w:t>
            </w:r>
          </w:p>
        </w:tc>
        <w:tc>
          <w:tcPr>
            <w:tcW w:w="1381" w:type="dxa"/>
            <w:noWrap w:val="0"/>
            <w:vAlign w:val="center"/>
          </w:tcPr>
          <w:p>
            <w:pPr>
              <w:widowControl/>
              <w:spacing w:line="260" w:lineRule="exact"/>
              <w:jc w:val="left"/>
              <w:rPr>
                <w:rFonts w:hint="eastAsia" w:eastAsia="方正仿宋_GBK" w:cs="宋体"/>
                <w:color w:val="000000"/>
                <w:kern w:val="0"/>
                <w:szCs w:val="21"/>
                <w:lang w:val="en-US" w:eastAsia="zh-CN"/>
              </w:rPr>
            </w:pPr>
            <w:r>
              <w:rPr>
                <w:rFonts w:hint="eastAsia" w:eastAsia="方正仿宋_GBK" w:cs="宋体"/>
                <w:color w:val="000000"/>
                <w:kern w:val="0"/>
                <w:szCs w:val="21"/>
              </w:rPr>
              <w:t>　</w:t>
            </w:r>
            <w:r>
              <w:rPr>
                <w:rFonts w:hint="eastAsia" w:eastAsia="方正仿宋_GBK" w:cs="宋体"/>
                <w:color w:val="000000"/>
                <w:kern w:val="0"/>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widowControl/>
              <w:spacing w:line="260" w:lineRule="exact"/>
              <w:jc w:val="left"/>
              <w:rPr>
                <w:rFonts w:hint="eastAsia" w:eastAsia="方正仿宋_GBK" w:cs="宋体"/>
                <w:color w:val="000000"/>
                <w:kern w:val="0"/>
                <w:szCs w:val="21"/>
              </w:rPr>
            </w:pPr>
          </w:p>
        </w:tc>
        <w:tc>
          <w:tcPr>
            <w:tcW w:w="1976" w:type="dxa"/>
            <w:gridSpan w:val="2"/>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其中：当年财政拨款　</w:t>
            </w:r>
          </w:p>
        </w:tc>
        <w:tc>
          <w:tcPr>
            <w:tcW w:w="1120"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038"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038"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757"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799"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381"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widowControl/>
              <w:spacing w:line="260" w:lineRule="exact"/>
              <w:jc w:val="left"/>
              <w:rPr>
                <w:rFonts w:hint="eastAsia" w:eastAsia="方正仿宋_GBK" w:cs="宋体"/>
                <w:color w:val="000000"/>
                <w:kern w:val="0"/>
                <w:szCs w:val="21"/>
              </w:rPr>
            </w:pPr>
          </w:p>
        </w:tc>
        <w:tc>
          <w:tcPr>
            <w:tcW w:w="1976" w:type="dxa"/>
            <w:gridSpan w:val="2"/>
            <w:noWrap w:val="0"/>
            <w:vAlign w:val="center"/>
          </w:tcPr>
          <w:p>
            <w:pPr>
              <w:widowControl/>
              <w:spacing w:line="260" w:lineRule="exact"/>
              <w:ind w:firstLine="630" w:firstLineChars="300"/>
              <w:jc w:val="left"/>
              <w:rPr>
                <w:rFonts w:hint="eastAsia" w:eastAsia="方正仿宋_GBK" w:cs="宋体"/>
                <w:color w:val="000000"/>
                <w:kern w:val="0"/>
                <w:szCs w:val="21"/>
              </w:rPr>
            </w:pPr>
            <w:r>
              <w:rPr>
                <w:rFonts w:hint="eastAsia" w:eastAsia="方正仿宋_GBK" w:cs="宋体"/>
                <w:color w:val="000000"/>
                <w:kern w:val="0"/>
                <w:szCs w:val="21"/>
              </w:rPr>
              <w:t>上年结转资金　</w:t>
            </w:r>
          </w:p>
        </w:tc>
        <w:tc>
          <w:tcPr>
            <w:tcW w:w="1120" w:type="dxa"/>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rPr>
              <w:t>　</w:t>
            </w:r>
            <w:r>
              <w:rPr>
                <w:rFonts w:hint="eastAsia" w:eastAsia="方正仿宋_GBK" w:cs="宋体"/>
                <w:color w:val="000000"/>
                <w:kern w:val="0"/>
                <w:szCs w:val="21"/>
                <w:lang w:val="en-US" w:eastAsia="zh-CN"/>
              </w:rPr>
              <w:t>29.4</w:t>
            </w:r>
          </w:p>
        </w:tc>
        <w:tc>
          <w:tcPr>
            <w:tcW w:w="1038" w:type="dxa"/>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rPr>
              <w:t>　</w:t>
            </w:r>
            <w:r>
              <w:rPr>
                <w:rFonts w:hint="eastAsia" w:eastAsia="方正仿宋_GBK" w:cs="宋体"/>
                <w:color w:val="000000"/>
                <w:kern w:val="0"/>
                <w:szCs w:val="21"/>
                <w:lang w:val="en-US" w:eastAsia="zh-CN"/>
              </w:rPr>
              <w:t>29.4</w:t>
            </w:r>
          </w:p>
        </w:tc>
        <w:tc>
          <w:tcPr>
            <w:tcW w:w="1038" w:type="dxa"/>
            <w:noWrap w:val="0"/>
            <w:vAlign w:val="center"/>
          </w:tcPr>
          <w:p>
            <w:pPr>
              <w:widowControl/>
              <w:spacing w:line="260" w:lineRule="exact"/>
              <w:jc w:val="left"/>
              <w:rPr>
                <w:rFonts w:hint="default" w:eastAsia="方正仿宋_GBK" w:cs="宋体"/>
                <w:color w:val="000000"/>
                <w:kern w:val="0"/>
                <w:szCs w:val="21"/>
                <w:lang w:val="en-US" w:eastAsia="zh-CN"/>
              </w:rPr>
            </w:pPr>
            <w:r>
              <w:rPr>
                <w:rFonts w:hint="eastAsia" w:eastAsia="方正仿宋_GBK" w:cs="宋体"/>
                <w:color w:val="000000"/>
                <w:kern w:val="0"/>
                <w:szCs w:val="21"/>
              </w:rPr>
              <w:t>　</w:t>
            </w:r>
            <w:r>
              <w:rPr>
                <w:rFonts w:hint="eastAsia" w:eastAsia="方正仿宋_GBK" w:cs="宋体"/>
                <w:color w:val="000000"/>
                <w:kern w:val="0"/>
                <w:szCs w:val="21"/>
                <w:lang w:val="en-US" w:eastAsia="zh-CN"/>
              </w:rPr>
              <w:t>24.8</w:t>
            </w:r>
          </w:p>
        </w:tc>
        <w:tc>
          <w:tcPr>
            <w:tcW w:w="757"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799"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381"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widowControl/>
              <w:spacing w:line="260" w:lineRule="exact"/>
              <w:jc w:val="left"/>
              <w:rPr>
                <w:rFonts w:hint="eastAsia" w:eastAsia="方正仿宋_GBK" w:cs="宋体"/>
                <w:color w:val="000000"/>
                <w:kern w:val="0"/>
                <w:szCs w:val="21"/>
              </w:rPr>
            </w:pPr>
          </w:p>
        </w:tc>
        <w:tc>
          <w:tcPr>
            <w:tcW w:w="1976" w:type="dxa"/>
            <w:gridSpan w:val="2"/>
            <w:noWrap w:val="0"/>
            <w:vAlign w:val="center"/>
          </w:tcPr>
          <w:p>
            <w:pPr>
              <w:widowControl/>
              <w:spacing w:line="260" w:lineRule="exact"/>
              <w:ind w:firstLine="630" w:firstLineChars="300"/>
              <w:jc w:val="left"/>
              <w:rPr>
                <w:rFonts w:hint="eastAsia" w:eastAsia="方正仿宋_GBK" w:cs="宋体"/>
                <w:color w:val="000000"/>
                <w:kern w:val="0"/>
                <w:szCs w:val="21"/>
              </w:rPr>
            </w:pPr>
            <w:r>
              <w:rPr>
                <w:rFonts w:hint="eastAsia" w:eastAsia="方正仿宋_GBK" w:cs="宋体"/>
                <w:color w:val="000000"/>
                <w:kern w:val="0"/>
                <w:szCs w:val="21"/>
              </w:rPr>
              <w:t>其他资金</w:t>
            </w:r>
          </w:p>
        </w:tc>
        <w:tc>
          <w:tcPr>
            <w:tcW w:w="1120"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038"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038"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757"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799"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c>
          <w:tcPr>
            <w:tcW w:w="1381" w:type="dxa"/>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restart"/>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年度总体目标</w:t>
            </w:r>
          </w:p>
        </w:tc>
        <w:tc>
          <w:tcPr>
            <w:tcW w:w="4134" w:type="dxa"/>
            <w:gridSpan w:val="4"/>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预期目标</w:t>
            </w:r>
          </w:p>
        </w:tc>
        <w:tc>
          <w:tcPr>
            <w:tcW w:w="3975" w:type="dxa"/>
            <w:gridSpan w:val="4"/>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实际完成情况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widowControl/>
              <w:spacing w:line="260" w:lineRule="exact"/>
              <w:jc w:val="left"/>
              <w:rPr>
                <w:rFonts w:hint="eastAsia" w:eastAsia="方正仿宋_GBK" w:cs="宋体"/>
                <w:color w:val="000000"/>
                <w:kern w:val="0"/>
                <w:szCs w:val="21"/>
              </w:rPr>
            </w:pPr>
          </w:p>
        </w:tc>
        <w:tc>
          <w:tcPr>
            <w:tcW w:w="4134" w:type="dxa"/>
            <w:gridSpan w:val="4"/>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　　</w:t>
            </w:r>
          </w:p>
        </w:tc>
        <w:tc>
          <w:tcPr>
            <w:tcW w:w="3975" w:type="dxa"/>
            <w:gridSpan w:val="4"/>
            <w:noWrap w:val="0"/>
            <w:vAlign w:val="center"/>
          </w:tcPr>
          <w:p>
            <w:pPr>
              <w:widowControl/>
              <w:spacing w:line="260" w:lineRule="exact"/>
              <w:jc w:val="left"/>
              <w:rPr>
                <w:rFonts w:hint="eastAsia" w:eastAsia="方正仿宋_GBK" w:cs="宋体"/>
                <w:color w:val="000000"/>
                <w:kern w:val="0"/>
                <w:szCs w:val="21"/>
              </w:rPr>
            </w:pPr>
            <w:r>
              <w:rPr>
                <w:rFonts w:hint="eastAsia" w:eastAsia="方正仿宋_GBK"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restart"/>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绩效</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指标</w:t>
            </w:r>
          </w:p>
        </w:tc>
        <w:tc>
          <w:tcPr>
            <w:tcW w:w="98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一级指标</w:t>
            </w:r>
          </w:p>
        </w:tc>
        <w:tc>
          <w:tcPr>
            <w:tcW w:w="98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二级指标</w:t>
            </w:r>
          </w:p>
        </w:tc>
        <w:tc>
          <w:tcPr>
            <w:tcW w:w="1120"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三级指标</w:t>
            </w:r>
          </w:p>
        </w:tc>
        <w:tc>
          <w:tcPr>
            <w:tcW w:w="103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年度</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指标值</w:t>
            </w:r>
          </w:p>
        </w:tc>
        <w:tc>
          <w:tcPr>
            <w:tcW w:w="1038"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实际</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完成值</w:t>
            </w:r>
          </w:p>
        </w:tc>
        <w:tc>
          <w:tcPr>
            <w:tcW w:w="757"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分值</w:t>
            </w:r>
          </w:p>
        </w:tc>
        <w:tc>
          <w:tcPr>
            <w:tcW w:w="799"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得分</w:t>
            </w:r>
          </w:p>
        </w:tc>
        <w:tc>
          <w:tcPr>
            <w:tcW w:w="1381"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偏差原因</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分析及</w:t>
            </w:r>
          </w:p>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产出指标</w:t>
            </w:r>
          </w:p>
          <w:p>
            <w:pPr>
              <w:widowControl/>
              <w:spacing w:line="240" w:lineRule="exact"/>
              <w:jc w:val="center"/>
              <w:rPr>
                <w:rFonts w:hint="eastAsia" w:eastAsia="方正仿宋_GBK"/>
                <w:color w:val="000000"/>
                <w:kern w:val="0"/>
                <w:szCs w:val="21"/>
              </w:rPr>
            </w:pP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(50分)</w:t>
            </w:r>
          </w:p>
        </w:tc>
        <w:tc>
          <w:tcPr>
            <w:tcW w:w="988" w:type="dxa"/>
            <w:vMerge w:val="restart"/>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数量</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开展食品生产许可企业现场核查家数</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≥300家</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318</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1381"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center"/>
              <w:rPr>
                <w:rFonts w:hint="eastAsia" w:eastAsia="方正仿宋_GBK" w:cs="宋体"/>
                <w:color w:val="000000"/>
                <w:kern w:val="0"/>
                <w:szCs w:val="21"/>
              </w:rPr>
            </w:pP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开展全省食品安全经营检查员培训人数</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≥230人</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300</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10</w:t>
            </w:r>
          </w:p>
        </w:tc>
        <w:tc>
          <w:tcPr>
            <w:tcW w:w="1381"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center"/>
              <w:rPr>
                <w:rFonts w:hint="eastAsia" w:eastAsia="方正仿宋_GBK" w:cs="宋体"/>
                <w:color w:val="000000"/>
                <w:kern w:val="0"/>
                <w:szCs w:val="21"/>
              </w:rPr>
            </w:pPr>
          </w:p>
        </w:tc>
        <w:tc>
          <w:tcPr>
            <w:tcW w:w="1120"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开展保健食品生产企业现场许可审查家数</w:t>
            </w:r>
          </w:p>
        </w:tc>
        <w:tc>
          <w:tcPr>
            <w:tcW w:w="103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≥20家</w:t>
            </w:r>
          </w:p>
        </w:tc>
        <w:tc>
          <w:tcPr>
            <w:tcW w:w="103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22家</w:t>
            </w:r>
          </w:p>
        </w:tc>
        <w:tc>
          <w:tcPr>
            <w:tcW w:w="757"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381"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质量</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按照《湖南省直机关培训费管理办法》《湖南盛省直机关差旅费管理办法》</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按文件质量要求</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eastAsia="方正仿宋_GBK" w:cs="宋体"/>
                <w:color w:val="000000"/>
                <w:kern w:val="0"/>
                <w:szCs w:val="21"/>
                <w:lang w:val="en-US" w:eastAsia="zh-CN"/>
              </w:rPr>
              <w:t>按文件质量要求完成</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10</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时效</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食品安全审评认证检查及培训完成时间</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按时限要求完成</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按时限要求完成</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10</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成本</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指标</w:t>
            </w:r>
          </w:p>
        </w:tc>
        <w:tc>
          <w:tcPr>
            <w:tcW w:w="1120" w:type="dxa"/>
            <w:noWrap w:val="0"/>
            <w:vAlign w:val="center"/>
          </w:tcPr>
          <w:p>
            <w:pPr>
              <w:keepNext w:val="0"/>
              <w:keepLines w:val="0"/>
              <w:widowControl/>
              <w:suppressLineNumbers w:val="0"/>
              <w:jc w:val="left"/>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不适用</w:t>
            </w:r>
          </w:p>
        </w:tc>
        <w:tc>
          <w:tcPr>
            <w:tcW w:w="1038" w:type="dxa"/>
            <w:noWrap w:val="0"/>
            <w:vAlign w:val="center"/>
          </w:tcPr>
          <w:p>
            <w:pPr>
              <w:keepNext w:val="0"/>
              <w:keepLines w:val="0"/>
              <w:widowControl/>
              <w:suppressLineNumbers w:val="0"/>
              <w:jc w:val="both"/>
              <w:textAlignment w:val="center"/>
              <w:rPr>
                <w:rFonts w:hint="eastAsia" w:eastAsia="方正仿宋_GBK" w:cs="宋体"/>
                <w:color w:val="000000"/>
                <w:kern w:val="0"/>
                <w:szCs w:val="21"/>
              </w:rPr>
            </w:pP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757"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799"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restart"/>
            <w:noWrap w:val="0"/>
            <w:vAlign w:val="center"/>
          </w:tcPr>
          <w:p>
            <w:pPr>
              <w:widowControl/>
              <w:spacing w:line="240" w:lineRule="exact"/>
              <w:jc w:val="left"/>
              <w:rPr>
                <w:rFonts w:hint="eastAsia" w:eastAsia="方正仿宋_GBK"/>
                <w:color w:val="000000"/>
                <w:kern w:val="0"/>
                <w:szCs w:val="21"/>
              </w:rPr>
            </w:pPr>
            <w:r>
              <w:rPr>
                <w:rFonts w:hint="eastAsia" w:eastAsia="方正仿宋_GBK"/>
                <w:color w:val="000000"/>
                <w:kern w:val="0"/>
                <w:szCs w:val="21"/>
              </w:rPr>
              <w:t>效益指标</w:t>
            </w:r>
          </w:p>
          <w:p>
            <w:pPr>
              <w:widowControl/>
              <w:spacing w:line="240" w:lineRule="exact"/>
              <w:jc w:val="left"/>
              <w:rPr>
                <w:rFonts w:hint="eastAsia" w:eastAsia="方正仿宋_GBK"/>
                <w:color w:val="000000"/>
                <w:kern w:val="0"/>
                <w:szCs w:val="21"/>
              </w:rPr>
            </w:pPr>
          </w:p>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（30分）</w:t>
            </w: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经济效</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益指标</w:t>
            </w:r>
          </w:p>
        </w:tc>
        <w:tc>
          <w:tcPr>
            <w:tcW w:w="1120" w:type="dxa"/>
            <w:noWrap w:val="0"/>
            <w:vAlign w:val="center"/>
          </w:tcPr>
          <w:p>
            <w:pPr>
              <w:keepNext w:val="0"/>
              <w:keepLines w:val="0"/>
              <w:widowControl/>
              <w:suppressLineNumbers w:val="0"/>
              <w:jc w:val="left"/>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不适用</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757"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799"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p>
        </w:tc>
        <w:tc>
          <w:tcPr>
            <w:tcW w:w="1381"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社会效</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益指标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大型源发性的食品安全事件</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0</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0</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15</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15</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vMerge w:val="continue"/>
            <w:noWrap w:val="0"/>
            <w:vAlign w:val="center"/>
          </w:tcPr>
          <w:p>
            <w:pPr>
              <w:spacing w:line="24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生态效</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益指标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eastAsia="方正仿宋_GBK" w:cs="宋体"/>
                <w:color w:val="000000"/>
                <w:kern w:val="0"/>
                <w:szCs w:val="21"/>
              </w:rPr>
              <w:t>提高食品安全保障水平</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稳步提升</w:t>
            </w:r>
          </w:p>
        </w:tc>
        <w:tc>
          <w:tcPr>
            <w:tcW w:w="1038"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稳步提升</w:t>
            </w:r>
          </w:p>
        </w:tc>
        <w:tc>
          <w:tcPr>
            <w:tcW w:w="757"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15</w:t>
            </w:r>
          </w:p>
        </w:tc>
        <w:tc>
          <w:tcPr>
            <w:tcW w:w="799" w:type="dxa"/>
            <w:noWrap w:val="0"/>
            <w:vAlign w:val="center"/>
          </w:tcPr>
          <w:p>
            <w:pPr>
              <w:keepNext w:val="0"/>
              <w:keepLines w:val="0"/>
              <w:widowControl/>
              <w:suppressLineNumbers w:val="0"/>
              <w:jc w:val="center"/>
              <w:textAlignment w:val="center"/>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15</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c>
          <w:tcPr>
            <w:tcW w:w="988" w:type="dxa"/>
            <w:noWrap w:val="0"/>
            <w:vAlign w:val="center"/>
          </w:tcPr>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可持续影响指标</w:t>
            </w:r>
          </w:p>
        </w:tc>
        <w:tc>
          <w:tcPr>
            <w:tcW w:w="1120" w:type="dxa"/>
            <w:noWrap w:val="0"/>
            <w:vAlign w:val="center"/>
          </w:tcPr>
          <w:p>
            <w:pPr>
              <w:widowControl/>
              <w:spacing w:line="240" w:lineRule="exact"/>
              <w:jc w:val="left"/>
              <w:rPr>
                <w:rFonts w:hint="eastAsia" w:eastAsia="方正仿宋_GBK" w:cs="宋体"/>
                <w:color w:val="000000"/>
                <w:kern w:val="0"/>
                <w:szCs w:val="21"/>
              </w:rPr>
            </w:pPr>
          </w:p>
        </w:tc>
        <w:tc>
          <w:tcPr>
            <w:tcW w:w="1038"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c>
          <w:tcPr>
            <w:tcW w:w="1038"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c>
          <w:tcPr>
            <w:tcW w:w="757"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c>
          <w:tcPr>
            <w:tcW w:w="799"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988" w:type="dxa"/>
            <w:vMerge w:val="continue"/>
            <w:noWrap w:val="0"/>
            <w:vAlign w:val="center"/>
          </w:tcPr>
          <w:p>
            <w:pPr>
              <w:spacing w:line="260" w:lineRule="exact"/>
              <w:jc w:val="left"/>
              <w:rPr>
                <w:rFonts w:hint="eastAsia" w:eastAsia="方正仿宋_GBK" w:cs="宋体"/>
                <w:color w:val="000000"/>
                <w:kern w:val="0"/>
                <w:szCs w:val="21"/>
              </w:rPr>
            </w:pPr>
          </w:p>
        </w:tc>
        <w:tc>
          <w:tcPr>
            <w:tcW w:w="988" w:type="dxa"/>
            <w:noWrap w:val="0"/>
            <w:vAlign w:val="center"/>
          </w:tcPr>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满意度</w:t>
            </w:r>
          </w:p>
          <w:p>
            <w:pPr>
              <w:widowControl/>
              <w:spacing w:line="240" w:lineRule="exact"/>
              <w:jc w:val="center"/>
              <w:rPr>
                <w:rFonts w:hint="eastAsia" w:eastAsia="方正仿宋_GBK"/>
                <w:color w:val="000000"/>
                <w:kern w:val="0"/>
                <w:szCs w:val="21"/>
              </w:rPr>
            </w:pPr>
            <w:r>
              <w:rPr>
                <w:rFonts w:hint="eastAsia" w:eastAsia="方正仿宋_GBK"/>
                <w:color w:val="000000"/>
                <w:kern w:val="0"/>
                <w:szCs w:val="21"/>
              </w:rPr>
              <w:t>指标</w:t>
            </w:r>
          </w:p>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（10分）</w:t>
            </w:r>
          </w:p>
        </w:tc>
        <w:tc>
          <w:tcPr>
            <w:tcW w:w="988" w:type="dxa"/>
            <w:noWrap w:val="0"/>
            <w:vAlign w:val="center"/>
          </w:tcPr>
          <w:p>
            <w:pPr>
              <w:widowControl/>
              <w:spacing w:line="240" w:lineRule="exact"/>
              <w:jc w:val="center"/>
              <w:rPr>
                <w:rFonts w:hint="eastAsia" w:eastAsia="方正仿宋_GBK" w:cs="宋体"/>
                <w:color w:val="000000"/>
                <w:kern w:val="0"/>
                <w:szCs w:val="21"/>
              </w:rPr>
            </w:pPr>
            <w:r>
              <w:rPr>
                <w:rFonts w:hint="eastAsia" w:eastAsia="方正仿宋_GBK"/>
                <w:color w:val="000000"/>
                <w:kern w:val="0"/>
                <w:szCs w:val="21"/>
              </w:rPr>
              <w:t>服务对象满意度指标</w:t>
            </w:r>
          </w:p>
        </w:tc>
        <w:tc>
          <w:tcPr>
            <w:tcW w:w="1120" w:type="dxa"/>
            <w:noWrap w:val="0"/>
            <w:vAlign w:val="center"/>
          </w:tcPr>
          <w:p>
            <w:pPr>
              <w:keepNext w:val="0"/>
              <w:keepLines w:val="0"/>
              <w:widowControl/>
              <w:suppressLineNumbers w:val="0"/>
              <w:jc w:val="left"/>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社会公众或服务对象是指部门</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90%</w:t>
            </w:r>
          </w:p>
        </w:tc>
        <w:tc>
          <w:tcPr>
            <w:tcW w:w="1038"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100%</w:t>
            </w:r>
          </w:p>
        </w:tc>
        <w:tc>
          <w:tcPr>
            <w:tcW w:w="757"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10</w:t>
            </w:r>
          </w:p>
        </w:tc>
        <w:tc>
          <w:tcPr>
            <w:tcW w:w="799" w:type="dxa"/>
            <w:noWrap w:val="0"/>
            <w:vAlign w:val="center"/>
          </w:tcPr>
          <w:p>
            <w:pPr>
              <w:keepNext w:val="0"/>
              <w:keepLines w:val="0"/>
              <w:widowControl/>
              <w:suppressLineNumbers w:val="0"/>
              <w:jc w:val="center"/>
              <w:textAlignment w:val="center"/>
              <w:rPr>
                <w:rFonts w:hint="eastAsia" w:eastAsia="方正仿宋_GBK" w:cs="宋体"/>
                <w:color w:val="000000"/>
                <w:kern w:val="0"/>
                <w:szCs w:val="21"/>
              </w:rPr>
            </w:pPr>
            <w:r>
              <w:rPr>
                <w:rFonts w:hint="eastAsia" w:ascii="仿宋" w:hAnsi="仿宋" w:eastAsia="仿宋" w:cs="仿宋"/>
                <w:i w:val="0"/>
                <w:color w:val="000000"/>
                <w:kern w:val="0"/>
                <w:sz w:val="21"/>
                <w:szCs w:val="21"/>
                <w:u w:val="none"/>
                <w:lang w:val="en-US" w:eastAsia="zh-CN" w:bidi="ar"/>
              </w:rPr>
              <w:t>10</w:t>
            </w:r>
          </w:p>
        </w:tc>
        <w:tc>
          <w:tcPr>
            <w:tcW w:w="1381" w:type="dxa"/>
            <w:noWrap w:val="0"/>
            <w:vAlign w:val="center"/>
          </w:tcPr>
          <w:p>
            <w:pPr>
              <w:widowControl/>
              <w:spacing w:line="240" w:lineRule="exact"/>
              <w:jc w:val="left"/>
              <w:rPr>
                <w:rFonts w:hint="eastAsia" w:eastAsia="方正仿宋_GBK" w:cs="宋体"/>
                <w:color w:val="000000"/>
                <w:kern w:val="0"/>
                <w:szCs w:val="21"/>
              </w:rPr>
            </w:pPr>
            <w:r>
              <w:rPr>
                <w:rFonts w:hint="eastAsia" w:eastAsia="方正仿宋_GBK"/>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jc w:val="center"/>
        </w:trPr>
        <w:tc>
          <w:tcPr>
            <w:tcW w:w="6160" w:type="dxa"/>
            <w:gridSpan w:val="6"/>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总分</w:t>
            </w:r>
          </w:p>
        </w:tc>
        <w:tc>
          <w:tcPr>
            <w:tcW w:w="757" w:type="dxa"/>
            <w:noWrap w:val="0"/>
            <w:vAlign w:val="center"/>
          </w:tcPr>
          <w:p>
            <w:pPr>
              <w:widowControl/>
              <w:spacing w:line="260" w:lineRule="exact"/>
              <w:jc w:val="center"/>
              <w:rPr>
                <w:rFonts w:hint="eastAsia" w:eastAsia="方正仿宋_GBK" w:cs="宋体"/>
                <w:color w:val="000000"/>
                <w:kern w:val="0"/>
                <w:szCs w:val="21"/>
              </w:rPr>
            </w:pPr>
            <w:r>
              <w:rPr>
                <w:rFonts w:hint="eastAsia" w:eastAsia="方正仿宋_GBK" w:cs="宋体"/>
                <w:color w:val="000000"/>
                <w:kern w:val="0"/>
                <w:szCs w:val="21"/>
              </w:rPr>
              <w:t>100</w:t>
            </w:r>
          </w:p>
        </w:tc>
        <w:tc>
          <w:tcPr>
            <w:tcW w:w="799" w:type="dxa"/>
            <w:noWrap w:val="0"/>
            <w:vAlign w:val="center"/>
          </w:tcPr>
          <w:p>
            <w:pPr>
              <w:widowControl/>
              <w:spacing w:line="260" w:lineRule="exact"/>
              <w:ind w:firstLine="210" w:firstLineChars="100"/>
              <w:jc w:val="left"/>
              <w:rPr>
                <w:rFonts w:hint="default" w:eastAsia="方正仿宋_GBK" w:cs="宋体"/>
                <w:color w:val="000000"/>
                <w:kern w:val="0"/>
                <w:szCs w:val="21"/>
                <w:lang w:val="en-US" w:eastAsia="zh-CN"/>
              </w:rPr>
            </w:pPr>
            <w:r>
              <w:rPr>
                <w:rFonts w:hint="eastAsia" w:eastAsia="方正仿宋_GBK" w:cs="宋体"/>
                <w:color w:val="000000"/>
                <w:kern w:val="0"/>
                <w:szCs w:val="21"/>
                <w:lang w:val="en-US" w:eastAsia="zh-CN"/>
              </w:rPr>
              <w:t>98</w:t>
            </w:r>
          </w:p>
        </w:tc>
        <w:tc>
          <w:tcPr>
            <w:tcW w:w="1381" w:type="dxa"/>
            <w:noWrap w:val="0"/>
            <w:vAlign w:val="center"/>
          </w:tcPr>
          <w:p>
            <w:pPr>
              <w:widowControl/>
              <w:spacing w:line="260" w:lineRule="exact"/>
              <w:jc w:val="left"/>
              <w:rPr>
                <w:rFonts w:hint="eastAsia" w:eastAsia="方正仿宋_GBK" w:cs="宋体"/>
                <w:color w:val="000000"/>
                <w:kern w:val="0"/>
                <w:szCs w:val="21"/>
              </w:rPr>
            </w:pPr>
          </w:p>
        </w:tc>
      </w:tr>
    </w:tbl>
    <w:p>
      <w:pPr>
        <w:widowControl/>
        <w:jc w:val="left"/>
        <w:rPr>
          <w:rFonts w:eastAsia="仿宋"/>
          <w:color w:val="000000"/>
          <w:w w:val="95"/>
          <w:sz w:val="21"/>
          <w:szCs w:val="21"/>
        </w:rPr>
        <w:sectPr>
          <w:headerReference r:id="rId3" w:type="default"/>
          <w:footerReference r:id="rId4" w:type="default"/>
          <w:footerReference r:id="rId5" w:type="even"/>
          <w:pgSz w:w="11906" w:h="16838"/>
          <w:pgMar w:top="1985" w:right="1474" w:bottom="1474" w:left="1474" w:header="851" w:footer="1134" w:gutter="0"/>
          <w:cols w:space="720" w:num="1"/>
          <w:docGrid w:type="lines" w:linePitch="312" w:charSpace="0"/>
        </w:sectPr>
      </w:pPr>
      <w:r>
        <w:rPr>
          <w:rFonts w:hint="eastAsia" w:ascii="方正仿宋_GBK" w:eastAsia="方正仿宋_GBK"/>
          <w:kern w:val="0"/>
          <w:szCs w:val="21"/>
        </w:rPr>
        <w:t>填表人：</w:t>
      </w:r>
      <w:r>
        <w:rPr>
          <w:rFonts w:hint="eastAsia" w:ascii="方正仿宋_GBK" w:eastAsia="方正仿宋_GBK"/>
          <w:kern w:val="0"/>
          <w:szCs w:val="21"/>
          <w:lang w:val="en-US" w:eastAsia="zh-CN"/>
        </w:rPr>
        <w:t>杨泓</w:t>
      </w:r>
      <w:r>
        <w:rPr>
          <w:rFonts w:hint="eastAsia" w:ascii="方正仿宋_GBK" w:eastAsia="方正仿宋_GBK"/>
          <w:kern w:val="0"/>
          <w:szCs w:val="21"/>
        </w:rPr>
        <w:t xml:space="preserve">  填报日期：</w:t>
      </w:r>
      <w:r>
        <w:rPr>
          <w:rFonts w:hint="eastAsia" w:ascii="方正仿宋_GBK" w:eastAsia="方正仿宋_GBK"/>
          <w:kern w:val="0"/>
          <w:szCs w:val="21"/>
          <w:lang w:val="en-US" w:eastAsia="zh-CN"/>
        </w:rPr>
        <w:t>2022.4.28</w:t>
      </w:r>
      <w:r>
        <w:rPr>
          <w:rFonts w:hint="eastAsia" w:ascii="方正仿宋_GBK" w:eastAsia="方正仿宋_GBK"/>
          <w:kern w:val="0"/>
          <w:szCs w:val="21"/>
        </w:rPr>
        <w:t xml:space="preserve">   联系电话：</w:t>
      </w:r>
      <w:r>
        <w:rPr>
          <w:rFonts w:hint="eastAsia" w:ascii="方正黑体_GBK" w:eastAsia="方正黑体_GBK"/>
          <w:kern w:val="0"/>
          <w:szCs w:val="21"/>
          <w:lang w:val="en-US" w:eastAsia="zh-CN"/>
        </w:rPr>
        <w:t>0731-85693711</w:t>
      </w:r>
      <w:r>
        <w:rPr>
          <w:rFonts w:hint="eastAsia" w:ascii="方正仿宋_GBK" w:eastAsia="方正仿宋_GBK"/>
          <w:kern w:val="0"/>
          <w:szCs w:val="21"/>
        </w:rPr>
        <w:t xml:space="preserve">  单位负责人签字：</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华文仿宋">
    <w:panose1 w:val="02010600040101010101"/>
    <w:charset w:val="86"/>
    <w:family w:val="auto"/>
    <w:pitch w:val="default"/>
    <w:sig w:usb0="00000287" w:usb1="080F0000" w:usb2="00000000" w:usb3="00000000" w:csb0="0004009F" w:csb1="DFD7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B0F1D"/>
    <w:multiLevelType w:val="singleLevel"/>
    <w:tmpl w:val="A6CB0F1D"/>
    <w:lvl w:ilvl="0" w:tentative="0">
      <w:start w:val="6"/>
      <w:numFmt w:val="chineseCounting"/>
      <w:suff w:val="nothing"/>
      <w:lvlText w:val="%1、"/>
      <w:lvlJc w:val="left"/>
      <w:rPr>
        <w:rFonts w:hint="eastAsia"/>
      </w:rPr>
    </w:lvl>
  </w:abstractNum>
  <w:abstractNum w:abstractNumId="1">
    <w:nsid w:val="002FEF6C"/>
    <w:multiLevelType w:val="singleLevel"/>
    <w:tmpl w:val="002FEF6C"/>
    <w:lvl w:ilvl="0" w:tentative="0">
      <w:start w:val="3"/>
      <w:numFmt w:val="decimal"/>
      <w:suff w:val="nothing"/>
      <w:lvlText w:val="%1、"/>
      <w:lvlJc w:val="left"/>
    </w:lvl>
  </w:abstractNum>
  <w:abstractNum w:abstractNumId="2">
    <w:nsid w:val="1980D739"/>
    <w:multiLevelType w:val="singleLevel"/>
    <w:tmpl w:val="1980D739"/>
    <w:lvl w:ilvl="0" w:tentative="0">
      <w:start w:val="1"/>
      <w:numFmt w:val="decimal"/>
      <w:suff w:val="space"/>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9C9EA7"/>
    <w:multiLevelType w:val="singleLevel"/>
    <w:tmpl w:val="609C9EA7"/>
    <w:lvl w:ilvl="0" w:tentative="0">
      <w:start w:val="1"/>
      <w:numFmt w:val="chineseCounting"/>
      <w:suff w:val="nothing"/>
      <w:lvlText w:val="%1、"/>
      <w:lvlJc w:val="left"/>
    </w:lvl>
  </w:abstractNum>
  <w:abstractNum w:abstractNumId="5">
    <w:nsid w:val="609CA7ED"/>
    <w:multiLevelType w:val="singleLevel"/>
    <w:tmpl w:val="609CA7ED"/>
    <w:lvl w:ilvl="0" w:tentative="0">
      <w:start w:val="2"/>
      <w:numFmt w:val="chineseCounting"/>
      <w:suff w:val="nothing"/>
      <w:lvlText w:val="（%1）"/>
      <w:lvlJc w:val="left"/>
    </w:lvl>
  </w:abstractNum>
  <w:abstractNum w:abstractNumId="6">
    <w:nsid w:val="6E2F3FBF"/>
    <w:multiLevelType w:val="singleLevel"/>
    <w:tmpl w:val="6E2F3FBF"/>
    <w:lvl w:ilvl="0" w:tentative="0">
      <w:start w:val="1"/>
      <w:numFmt w:val="chineseCounting"/>
      <w:suff w:val="nothing"/>
      <w:lvlText w:val="%1、"/>
      <w:lvlJc w:val="left"/>
      <w:rPr>
        <w:rFonts w:hint="eastAsia"/>
      </w:rPr>
    </w:lvl>
  </w:abstractNum>
  <w:abstractNum w:abstractNumId="7">
    <w:nsid w:val="79233708"/>
    <w:multiLevelType w:val="singleLevel"/>
    <w:tmpl w:val="79233708"/>
    <w:lvl w:ilvl="0" w:tentative="0">
      <w:start w:val="2"/>
      <w:numFmt w:val="decimal"/>
      <w:suff w:val="space"/>
      <w:lvlText w:val="%1."/>
      <w:lvlJc w:val="left"/>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WM1MjlmNmM2M2ZmN2JmZTJiOGJhYmMxYzAyOW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0358D1"/>
    <w:rsid w:val="03242DC4"/>
    <w:rsid w:val="039E11BA"/>
    <w:rsid w:val="07B70622"/>
    <w:rsid w:val="0A0B5B41"/>
    <w:rsid w:val="0B6C7D80"/>
    <w:rsid w:val="0FB636A9"/>
    <w:rsid w:val="1198674F"/>
    <w:rsid w:val="13A333BA"/>
    <w:rsid w:val="1510754D"/>
    <w:rsid w:val="1AD5524C"/>
    <w:rsid w:val="1B2C1885"/>
    <w:rsid w:val="1DAC0CC4"/>
    <w:rsid w:val="1E5B1707"/>
    <w:rsid w:val="209B4FA7"/>
    <w:rsid w:val="215F4A34"/>
    <w:rsid w:val="22EB72EC"/>
    <w:rsid w:val="22EF6B55"/>
    <w:rsid w:val="266172D6"/>
    <w:rsid w:val="2A1B6D0F"/>
    <w:rsid w:val="2C8174F9"/>
    <w:rsid w:val="2F73730B"/>
    <w:rsid w:val="30042823"/>
    <w:rsid w:val="311E318A"/>
    <w:rsid w:val="364E3373"/>
    <w:rsid w:val="36F98FE7"/>
    <w:rsid w:val="3CC0462F"/>
    <w:rsid w:val="3CEA3DA3"/>
    <w:rsid w:val="3CF137C4"/>
    <w:rsid w:val="3DBC2F44"/>
    <w:rsid w:val="3F6C09D2"/>
    <w:rsid w:val="4070583C"/>
    <w:rsid w:val="455756FD"/>
    <w:rsid w:val="45B9781A"/>
    <w:rsid w:val="4A6B58D9"/>
    <w:rsid w:val="4AAE7A32"/>
    <w:rsid w:val="4B856E26"/>
    <w:rsid w:val="4CCC2C46"/>
    <w:rsid w:val="4E1A5F49"/>
    <w:rsid w:val="4F1C4340"/>
    <w:rsid w:val="51152B24"/>
    <w:rsid w:val="52046213"/>
    <w:rsid w:val="542C2C98"/>
    <w:rsid w:val="55FE04B8"/>
    <w:rsid w:val="56794CB7"/>
    <w:rsid w:val="56DF5225"/>
    <w:rsid w:val="58542EB3"/>
    <w:rsid w:val="591331DD"/>
    <w:rsid w:val="59DF06E4"/>
    <w:rsid w:val="5D115593"/>
    <w:rsid w:val="62656613"/>
    <w:rsid w:val="63AF0FFB"/>
    <w:rsid w:val="659612D3"/>
    <w:rsid w:val="65DC6FA7"/>
    <w:rsid w:val="66883D7B"/>
    <w:rsid w:val="66A42E72"/>
    <w:rsid w:val="69067033"/>
    <w:rsid w:val="69B429EF"/>
    <w:rsid w:val="6B0828A7"/>
    <w:rsid w:val="6C9E1E30"/>
    <w:rsid w:val="6DF40E20"/>
    <w:rsid w:val="6E2004B7"/>
    <w:rsid w:val="70DF4EFC"/>
    <w:rsid w:val="721F1516"/>
    <w:rsid w:val="75F6508D"/>
    <w:rsid w:val="7F587460"/>
    <w:rsid w:val="AB7B7DD7"/>
    <w:rsid w:val="BFFBE45D"/>
    <w:rsid w:val="DAFED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rPr>
  </w:style>
  <w:style w:type="paragraph" w:styleId="3">
    <w:name w:val="Body Text"/>
    <w:basedOn w:val="1"/>
    <w:qFormat/>
    <w:uiPriority w:val="0"/>
    <w:rPr>
      <w:sz w:val="31"/>
      <w:szCs w:val="22"/>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customStyle="1" w:styleId="16">
    <w:name w:val="Char1 Char Char Char Char Char Char"/>
    <w:basedOn w:val="1"/>
    <w:qFormat/>
    <w:uiPriority w:val="0"/>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11212</Words>
  <Characters>13961</Characters>
  <Lines>69</Lines>
  <Paragraphs>19</Paragraphs>
  <TotalTime>9</TotalTime>
  <ScaleCrop>false</ScaleCrop>
  <LinksUpToDate>false</LinksUpToDate>
  <CharactersWithSpaces>15525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2022-07-28T04:55:00Z</cp:lastPrinted>
  <dcterms:modified xsi:type="dcterms:W3CDTF">2023-12-29T17:37:14Z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216855270170404D86479070962ACBC2_13</vt:lpwstr>
  </property>
</Properties>
</file>