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rFonts w:hint="default"/>
          <w:sz w:val="56"/>
          <w:szCs w:val="56"/>
          <w:lang w:val="en-US"/>
        </w:rPr>
      </w:pPr>
      <w:r>
        <w:rPr>
          <w:rFonts w:hint="default"/>
          <w:sz w:val="56"/>
          <w:szCs w:val="56"/>
          <w:lang w:val="en-US"/>
        </w:rPr>
        <w:t xml:space="preserve"> </w:t>
      </w:r>
    </w:p>
    <w:p>
      <w:pPr>
        <w:pStyle w:val="11"/>
        <w:jc w:val="center"/>
        <w:rPr>
          <w:sz w:val="84"/>
          <w:szCs w:val="84"/>
        </w:rPr>
      </w:pPr>
    </w:p>
    <w:p>
      <w:pPr>
        <w:pStyle w:val="11"/>
        <w:jc w:val="center"/>
        <w:rPr>
          <w:sz w:val="84"/>
          <w:szCs w:val="84"/>
        </w:rPr>
      </w:pPr>
    </w:p>
    <w:p>
      <w:pPr>
        <w:pStyle w:val="11"/>
        <w:jc w:val="center"/>
        <w:rPr>
          <w:rFonts w:hint="default"/>
          <w:sz w:val="84"/>
          <w:szCs w:val="84"/>
          <w:lang w:val="en-US"/>
        </w:rPr>
      </w:pPr>
      <w:r>
        <w:rPr>
          <w:rFonts w:hint="eastAsia"/>
          <w:sz w:val="84"/>
          <w:szCs w:val="84"/>
        </w:rPr>
        <w:t>2021年度</w:t>
      </w:r>
      <w:r>
        <w:rPr>
          <w:rFonts w:hint="default"/>
          <w:sz w:val="84"/>
          <w:szCs w:val="84"/>
          <w:lang w:val="en-US"/>
        </w:rPr>
        <w:t xml:space="preserve"> </w:t>
      </w:r>
    </w:p>
    <w:p>
      <w:pPr>
        <w:pStyle w:val="11"/>
        <w:jc w:val="center"/>
        <w:rPr>
          <w:sz w:val="84"/>
          <w:szCs w:val="84"/>
        </w:rPr>
      </w:pPr>
      <w:r>
        <w:rPr>
          <w:rFonts w:hint="eastAsia"/>
          <w:sz w:val="84"/>
          <w:szCs w:val="84"/>
        </w:rPr>
        <w:t>湖南省食品和工业产品生产许可审查中心部门决算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center"/>
        <w:rPr>
          <w:rFonts w:hint="eastAsia"/>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第一部分湖南省食品和工业产品生产许可审查中心概况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湖南省食品和工业产品生产许可审查中心概况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480" w:firstLineChars="150"/>
        <w:rPr>
          <w:rFonts w:hint="eastAsia" w:asciiTheme="minorEastAsia" w:hAnsiTheme="minorEastAsia"/>
          <w:sz w:val="32"/>
          <w:szCs w:val="32"/>
        </w:rPr>
      </w:pPr>
      <w:r>
        <w:rPr>
          <w:rFonts w:hint="eastAsia" w:asciiTheme="minorEastAsia" w:hAnsiTheme="minorEastAsia"/>
          <w:sz w:val="32"/>
          <w:szCs w:val="32"/>
        </w:rPr>
        <w:t>湖南省食品和工业产品生产许可审查中心于2011年5月经湖南省机构编制委员会批准设立，是隶属于湖南省质量技术监督局的正处级全额拨款（公益一类）事业单位。中心主要负责组织开展全省食品相关产品和工业产品生产许可审查；组织实施全省检验检测机构资质认定、权限内计量标准器具核准、承担国家法定计量检定机构任务的授权、计量器具新产品型式批准等行政许可的审查；受省局委托承担全省食品相关产品监督检查及职责内行政许可的监督检查工作。</w:t>
      </w:r>
    </w:p>
    <w:p>
      <w:pPr>
        <w:widowControl/>
        <w:spacing w:line="600" w:lineRule="exact"/>
        <w:ind w:firstLine="320" w:firstLineChars="1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湖南省食品和工业产品生产许可审查中心内设机构包括：</w:t>
      </w:r>
      <w:r>
        <w:rPr>
          <w:rFonts w:hint="eastAsia" w:asciiTheme="minorEastAsia" w:hAnsiTheme="minorEastAsia"/>
          <w:bCs/>
          <w:kern w:val="0"/>
          <w:sz w:val="32"/>
          <w:szCs w:val="32"/>
          <w:lang w:val="en-US" w:eastAsia="zh-CN"/>
        </w:rPr>
        <w:t>综合部、工业产品审查部、食品相关产品审查部、科研技术部。</w:t>
      </w:r>
    </w:p>
    <w:p>
      <w:pPr>
        <w:widowControl/>
        <w:numPr>
          <w:ilvl w:val="0"/>
          <w:numId w:val="2"/>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lang w:val="en-US" w:eastAsia="zh-CN"/>
        </w:rPr>
        <w:t>本单位无下级预算单位，湖南省食品和工业产品生产许可审查中心2021年部门决算汇总公开单位构成包括：湖南省食品和工业产品生产许可审查中心本级。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both"/>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部门：湖南省食品和工业产品生产许可审查中心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398.16</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356.43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398.26</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392.77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21.54</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27.04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419.80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419.80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default" w:ascii="宋体" w:hAnsi="宋体" w:eastAsia="宋体" w:cs="宋体"/>
                <w:kern w:val="0"/>
                <w:sz w:val="24"/>
                <w:szCs w:val="24"/>
                <w:lang w:val="en-US"/>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4820" w:type="dxa"/>
        <w:tblInd w:w="0" w:type="dxa"/>
        <w:tblLayout w:type="fixed"/>
        <w:tblCellMar>
          <w:top w:w="0" w:type="dxa"/>
          <w:left w:w="0" w:type="dxa"/>
          <w:bottom w:w="0" w:type="dxa"/>
          <w:right w:w="0" w:type="dxa"/>
        </w:tblCellMar>
      </w:tblPr>
      <w:tblGrid>
        <w:gridCol w:w="49"/>
        <w:gridCol w:w="848"/>
        <w:gridCol w:w="302"/>
        <w:gridCol w:w="43"/>
        <w:gridCol w:w="1965"/>
        <w:gridCol w:w="517"/>
        <w:gridCol w:w="8"/>
        <w:gridCol w:w="525"/>
        <w:gridCol w:w="795"/>
        <w:gridCol w:w="235"/>
        <w:gridCol w:w="680"/>
        <w:gridCol w:w="1018"/>
        <w:gridCol w:w="587"/>
        <w:gridCol w:w="240"/>
        <w:gridCol w:w="375"/>
        <w:gridCol w:w="240"/>
        <w:gridCol w:w="331"/>
        <w:gridCol w:w="389"/>
        <w:gridCol w:w="690"/>
        <w:gridCol w:w="379"/>
        <w:gridCol w:w="716"/>
        <w:gridCol w:w="495"/>
        <w:gridCol w:w="322"/>
        <w:gridCol w:w="593"/>
        <w:gridCol w:w="840"/>
        <w:gridCol w:w="420"/>
        <w:gridCol w:w="1158"/>
        <w:gridCol w:w="12"/>
        <w:gridCol w:w="48"/>
      </w:tblGrid>
      <w:tr>
        <w:tblPrEx>
          <w:tblCellMar>
            <w:top w:w="0" w:type="dxa"/>
            <w:left w:w="0" w:type="dxa"/>
            <w:bottom w:w="0" w:type="dxa"/>
            <w:right w:w="0" w:type="dxa"/>
          </w:tblCellMar>
        </w:tblPrEx>
        <w:trPr>
          <w:trHeight w:val="700" w:hRule="atLeast"/>
        </w:trPr>
        <w:tc>
          <w:tcPr>
            <w:tcW w:w="14820" w:type="dxa"/>
            <w:gridSpan w:val="29"/>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365" w:hRule="atLeast"/>
        </w:trPr>
        <w:tc>
          <w:tcPr>
            <w:tcW w:w="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5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2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3"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3"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8"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18"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365" w:hRule="atLeast"/>
        </w:trPr>
        <w:tc>
          <w:tcPr>
            <w:tcW w:w="5287" w:type="dxa"/>
            <w:gridSpan w:val="10"/>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部门：湖南省食品和工业产品生产许可审查中心</w:t>
            </w:r>
          </w:p>
        </w:tc>
        <w:tc>
          <w:tcPr>
            <w:tcW w:w="169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3"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58"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18"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387" w:hRule="atLeast"/>
        </w:trPr>
        <w:tc>
          <w:tcPr>
            <w:tcW w:w="3724" w:type="dxa"/>
            <w:gridSpan w:val="6"/>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63"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98"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73"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58"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33"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53"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218"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387" w:hRule="atLeast"/>
        </w:trPr>
        <w:tc>
          <w:tcPr>
            <w:tcW w:w="1199"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525"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63"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9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3"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5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1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55" w:hRule="atLeast"/>
        </w:trPr>
        <w:tc>
          <w:tcPr>
            <w:tcW w:w="1199"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25"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3"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9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3"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5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1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87" w:hRule="atLeast"/>
        </w:trPr>
        <w:tc>
          <w:tcPr>
            <w:tcW w:w="3724"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63"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9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73"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458"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533"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53"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218"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387" w:hRule="atLeast"/>
        </w:trPr>
        <w:tc>
          <w:tcPr>
            <w:tcW w:w="3724"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398.26</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398.16</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0.10</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354.86</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354.76</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0.10</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20138</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市场监督管理事务</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354.86</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354.76</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0.10</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2013804</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135.00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135.00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2013815</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质量安全监管</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30.00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30.00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2013850</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189.86</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189.76</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0.10</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16.00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16.00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16.00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16.00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721"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16.00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16.00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10.00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10.00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10.00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10.00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10.00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10.00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17.40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17.40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17.40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17.40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13.50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13.50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2210203</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3.90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3.90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65" w:hRule="atLeast"/>
        </w:trPr>
        <w:tc>
          <w:tcPr>
            <w:tcW w:w="14820" w:type="dxa"/>
            <w:gridSpan w:val="29"/>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gridAfter w:val="2"/>
          <w:wAfter w:w="60" w:type="dxa"/>
          <w:trHeight w:val="518" w:hRule="atLeast"/>
        </w:trPr>
        <w:tc>
          <w:tcPr>
            <w:tcW w:w="14760" w:type="dxa"/>
            <w:gridSpan w:val="2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2"/>
          <w:wAfter w:w="60" w:type="dxa"/>
          <w:trHeight w:val="259" w:hRule="atLeast"/>
        </w:trPr>
        <w:tc>
          <w:tcPr>
            <w:tcW w:w="8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2"/>
          <w:wAfter w:w="60" w:type="dxa"/>
          <w:trHeight w:val="259" w:hRule="atLeast"/>
        </w:trPr>
        <w:tc>
          <w:tcPr>
            <w:tcW w:w="897"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675" w:type="dxa"/>
            <w:gridSpan w:val="11"/>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color w:val="000000"/>
                <w:sz w:val="20"/>
                <w:szCs w:val="20"/>
              </w:rPr>
              <w:t>湖南省食品和工业产品生产许可审查中心</w:t>
            </w:r>
            <w:r>
              <w:rPr>
                <w:rFonts w:hint="eastAsia" w:ascii="宋体" w:hAnsi="宋体" w:eastAsia="宋体" w:cs="宋体"/>
                <w:kern w:val="0"/>
                <w:sz w:val="24"/>
                <w:szCs w:val="24"/>
              </w:rPr>
              <w:t>　　　</w:t>
            </w:r>
          </w:p>
        </w:tc>
        <w:tc>
          <w:tcPr>
            <w:tcW w:w="1575" w:type="dxa"/>
            <w:gridSpan w:val="5"/>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60" w:type="dxa"/>
          <w:trHeight w:val="387" w:hRule="atLeast"/>
        </w:trPr>
        <w:tc>
          <w:tcPr>
            <w:tcW w:w="4257"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1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0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7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8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1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1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60" w:type="dxa"/>
          <w:trHeight w:val="387" w:hRule="atLeast"/>
        </w:trPr>
        <w:tc>
          <w:tcPr>
            <w:tcW w:w="1242"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015" w:type="dxa"/>
            <w:gridSpan w:val="4"/>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7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8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60" w:type="dxa"/>
          <w:trHeight w:val="387" w:hRule="atLeast"/>
        </w:trPr>
        <w:tc>
          <w:tcPr>
            <w:tcW w:w="124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015"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7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8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60" w:type="dxa"/>
          <w:trHeight w:val="387" w:hRule="atLeast"/>
        </w:trPr>
        <w:tc>
          <w:tcPr>
            <w:tcW w:w="4257"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1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0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7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8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1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1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60" w:type="dxa"/>
          <w:trHeight w:val="387" w:hRule="atLeast"/>
        </w:trPr>
        <w:tc>
          <w:tcPr>
            <w:tcW w:w="4257"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392.77</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228.36</w:t>
            </w:r>
          </w:p>
        </w:tc>
        <w:tc>
          <w:tcPr>
            <w:tcW w:w="157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164.41</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356.43</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192.02</w:t>
            </w:r>
          </w:p>
        </w:tc>
        <w:tc>
          <w:tcPr>
            <w:tcW w:w="157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164.41</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20138</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市场监督管理事务</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356.43</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192.02</w:t>
            </w:r>
          </w:p>
        </w:tc>
        <w:tc>
          <w:tcPr>
            <w:tcW w:w="157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164.41</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2013804</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130.45</w:t>
            </w:r>
          </w:p>
        </w:tc>
        <w:tc>
          <w:tcPr>
            <w:tcW w:w="1605"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57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130.45</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2013815</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质量安全监管</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29.96</w:t>
            </w:r>
          </w:p>
        </w:tc>
        <w:tc>
          <w:tcPr>
            <w:tcW w:w="1605"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57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29.96</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2013850</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196.02</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192.02</w:t>
            </w:r>
          </w:p>
        </w:tc>
        <w:tc>
          <w:tcPr>
            <w:tcW w:w="157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9.59</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9.59</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9.59</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9.59</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9.59</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9.59</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9.84</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9.84</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9.84</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9.84</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9.84</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9.84</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16.91</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16.91</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16.91</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16.91</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13.01</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13.01</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2210203</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534" w:hRule="atLeast"/>
        </w:trPr>
        <w:tc>
          <w:tcPr>
            <w:tcW w:w="14760" w:type="dxa"/>
            <w:gridSpan w:val="27"/>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1"/>
          <w:wAfter w:w="48" w:type="dxa"/>
          <w:trHeight w:val="285" w:hRule="atLeast"/>
        </w:trPr>
        <w:tc>
          <w:tcPr>
            <w:tcW w:w="3207" w:type="dxa"/>
            <w:gridSpan w:val="5"/>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525"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2235"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2220"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24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10"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755"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48" w:type="dxa"/>
          <w:trHeight w:val="360" w:hRule="atLeast"/>
        </w:trPr>
        <w:tc>
          <w:tcPr>
            <w:tcW w:w="14772" w:type="dxa"/>
            <w:gridSpan w:val="2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gridAfter w:val="1"/>
          <w:wAfter w:w="48" w:type="dxa"/>
          <w:trHeight w:val="199" w:hRule="atLeast"/>
        </w:trPr>
        <w:tc>
          <w:tcPr>
            <w:tcW w:w="3207"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3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gridAfter w:val="1"/>
          <w:wAfter w:w="48" w:type="dxa"/>
          <w:trHeight w:val="300" w:hRule="atLeast"/>
        </w:trPr>
        <w:tc>
          <w:tcPr>
            <w:tcW w:w="8187" w:type="dxa"/>
            <w:gridSpan w:val="15"/>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部门：湖南省食品和工业产品生产许可审查中心　　　</w:t>
            </w: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48" w:type="dxa"/>
          <w:trHeight w:val="402" w:hRule="atLeast"/>
        </w:trPr>
        <w:tc>
          <w:tcPr>
            <w:tcW w:w="5052" w:type="dxa"/>
            <w:gridSpan w:val="9"/>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720" w:type="dxa"/>
            <w:gridSpan w:val="19"/>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gridAfter w:val="1"/>
          <w:wAfter w:w="48" w:type="dxa"/>
          <w:trHeight w:val="630"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75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398.16</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4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356.33</w:t>
            </w:r>
          </w:p>
        </w:tc>
        <w:tc>
          <w:tcPr>
            <w:tcW w:w="159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356.33</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六、社会保障和就业支出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4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9.59</w:t>
            </w:r>
          </w:p>
        </w:tc>
        <w:tc>
          <w:tcPr>
            <w:tcW w:w="159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9.59</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七、卫生健康支出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4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9.84</w:t>
            </w:r>
          </w:p>
        </w:tc>
        <w:tc>
          <w:tcPr>
            <w:tcW w:w="159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9.84</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八、住房保障支出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4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16.91</w:t>
            </w:r>
          </w:p>
        </w:tc>
        <w:tc>
          <w:tcPr>
            <w:tcW w:w="159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16.91</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398.16</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4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392.67</w:t>
            </w:r>
          </w:p>
        </w:tc>
        <w:tc>
          <w:tcPr>
            <w:tcW w:w="159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392.67</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21.54</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4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27.04</w:t>
            </w:r>
          </w:p>
        </w:tc>
        <w:tc>
          <w:tcPr>
            <w:tcW w:w="159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27.04</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21.54</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2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419.70</w:t>
            </w:r>
          </w:p>
        </w:tc>
        <w:tc>
          <w:tcPr>
            <w:tcW w:w="2760"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1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41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419.70</w:t>
            </w:r>
          </w:p>
        </w:tc>
        <w:tc>
          <w:tcPr>
            <w:tcW w:w="159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419.70</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585" w:hRule="atLeast"/>
        </w:trPr>
        <w:tc>
          <w:tcPr>
            <w:tcW w:w="14772" w:type="dxa"/>
            <w:gridSpan w:val="28"/>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湖南省食品和工业产品生产许可审查中心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884" w:type="dxa"/>
        <w:jc w:val="center"/>
        <w:tblLayout w:type="autofit"/>
        <w:tblCellMar>
          <w:top w:w="0" w:type="dxa"/>
          <w:left w:w="108" w:type="dxa"/>
          <w:bottom w:w="0" w:type="dxa"/>
          <w:right w:w="108" w:type="dxa"/>
        </w:tblCellMar>
      </w:tblPr>
      <w:tblGrid>
        <w:gridCol w:w="1930"/>
        <w:gridCol w:w="4025"/>
        <w:gridCol w:w="3053"/>
        <w:gridCol w:w="3073"/>
        <w:gridCol w:w="2803"/>
      </w:tblGrid>
      <w:tr>
        <w:tblPrEx>
          <w:tblCellMar>
            <w:top w:w="0" w:type="dxa"/>
            <w:left w:w="108" w:type="dxa"/>
            <w:bottom w:w="0" w:type="dxa"/>
            <w:right w:w="108" w:type="dxa"/>
          </w:tblCellMar>
        </w:tblPrEx>
        <w:trPr>
          <w:trHeight w:val="355" w:hRule="atLeast"/>
          <w:jc w:val="center"/>
        </w:trPr>
        <w:tc>
          <w:tcPr>
            <w:tcW w:w="59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44" w:hRule="atLeast"/>
          <w:jc w:val="center"/>
        </w:trPr>
        <w:tc>
          <w:tcPr>
            <w:tcW w:w="193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5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0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3"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44" w:hRule="atLeast"/>
          <w:jc w:val="center"/>
        </w:trPr>
        <w:tc>
          <w:tcPr>
            <w:tcW w:w="193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2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4" w:hRule="atLeast"/>
          <w:jc w:val="center"/>
        </w:trPr>
        <w:tc>
          <w:tcPr>
            <w:tcW w:w="193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2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4" w:hRule="atLeast"/>
          <w:jc w:val="center"/>
        </w:trPr>
        <w:tc>
          <w:tcPr>
            <w:tcW w:w="59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0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03"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44" w:hRule="atLeast"/>
          <w:jc w:val="center"/>
        </w:trPr>
        <w:tc>
          <w:tcPr>
            <w:tcW w:w="59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392.67</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228.26</w:t>
            </w:r>
          </w:p>
        </w:tc>
        <w:tc>
          <w:tcPr>
            <w:tcW w:w="280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164.41</w:t>
            </w:r>
          </w:p>
        </w:tc>
      </w:tr>
      <w:tr>
        <w:tblPrEx>
          <w:tblCellMar>
            <w:top w:w="0" w:type="dxa"/>
            <w:left w:w="108" w:type="dxa"/>
            <w:bottom w:w="0" w:type="dxa"/>
            <w:right w:w="108" w:type="dxa"/>
          </w:tblCellMar>
        </w:tblPrEx>
        <w:trPr>
          <w:trHeight w:val="344" w:hRule="atLeast"/>
          <w:jc w:val="center"/>
        </w:trPr>
        <w:tc>
          <w:tcPr>
            <w:tcW w:w="193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0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356.33</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191.92</w:t>
            </w:r>
          </w:p>
        </w:tc>
        <w:tc>
          <w:tcPr>
            <w:tcW w:w="280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164.41</w:t>
            </w:r>
          </w:p>
        </w:tc>
      </w:tr>
      <w:tr>
        <w:tblPrEx>
          <w:tblCellMar>
            <w:top w:w="0" w:type="dxa"/>
            <w:left w:w="108" w:type="dxa"/>
            <w:bottom w:w="0" w:type="dxa"/>
            <w:right w:w="108" w:type="dxa"/>
          </w:tblCellMar>
        </w:tblPrEx>
        <w:trPr>
          <w:trHeight w:val="344" w:hRule="atLeast"/>
          <w:jc w:val="center"/>
        </w:trPr>
        <w:tc>
          <w:tcPr>
            <w:tcW w:w="193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w:t>
            </w:r>
          </w:p>
        </w:tc>
        <w:tc>
          <w:tcPr>
            <w:tcW w:w="40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市场监督管理事务</w:t>
            </w:r>
          </w:p>
        </w:tc>
        <w:tc>
          <w:tcPr>
            <w:tcW w:w="30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356.33</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191.92</w:t>
            </w:r>
          </w:p>
        </w:tc>
        <w:tc>
          <w:tcPr>
            <w:tcW w:w="280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164.41</w:t>
            </w:r>
          </w:p>
        </w:tc>
      </w:tr>
      <w:tr>
        <w:tblPrEx>
          <w:tblCellMar>
            <w:top w:w="0" w:type="dxa"/>
            <w:left w:w="108" w:type="dxa"/>
            <w:bottom w:w="0" w:type="dxa"/>
            <w:right w:w="108" w:type="dxa"/>
          </w:tblCellMar>
        </w:tblPrEx>
        <w:trPr>
          <w:trHeight w:val="344" w:hRule="atLeast"/>
          <w:jc w:val="center"/>
        </w:trPr>
        <w:tc>
          <w:tcPr>
            <w:tcW w:w="193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2013804</w:t>
            </w:r>
          </w:p>
        </w:tc>
        <w:tc>
          <w:tcPr>
            <w:tcW w:w="40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30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130.45</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c>
          <w:tcPr>
            <w:tcW w:w="280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130.45</w:t>
            </w:r>
          </w:p>
        </w:tc>
      </w:tr>
      <w:tr>
        <w:tblPrEx>
          <w:tblCellMar>
            <w:top w:w="0" w:type="dxa"/>
            <w:left w:w="108" w:type="dxa"/>
            <w:bottom w:w="0" w:type="dxa"/>
            <w:right w:w="108" w:type="dxa"/>
          </w:tblCellMar>
        </w:tblPrEx>
        <w:trPr>
          <w:trHeight w:val="344" w:hRule="atLeast"/>
          <w:jc w:val="center"/>
        </w:trPr>
        <w:tc>
          <w:tcPr>
            <w:tcW w:w="193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2013815</w:t>
            </w:r>
          </w:p>
        </w:tc>
        <w:tc>
          <w:tcPr>
            <w:tcW w:w="40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质量安全监管</w:t>
            </w:r>
          </w:p>
        </w:tc>
        <w:tc>
          <w:tcPr>
            <w:tcW w:w="30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29.96</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c>
          <w:tcPr>
            <w:tcW w:w="280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29.96</w:t>
            </w:r>
          </w:p>
        </w:tc>
      </w:tr>
      <w:tr>
        <w:tblPrEx>
          <w:tblCellMar>
            <w:top w:w="0" w:type="dxa"/>
            <w:left w:w="108" w:type="dxa"/>
            <w:bottom w:w="0" w:type="dxa"/>
            <w:right w:w="108" w:type="dxa"/>
          </w:tblCellMar>
        </w:tblPrEx>
        <w:trPr>
          <w:trHeight w:val="344" w:hRule="atLeast"/>
          <w:jc w:val="center"/>
        </w:trPr>
        <w:tc>
          <w:tcPr>
            <w:tcW w:w="193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2013850</w:t>
            </w:r>
          </w:p>
        </w:tc>
        <w:tc>
          <w:tcPr>
            <w:tcW w:w="40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30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195.92</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191.92</w:t>
            </w:r>
          </w:p>
        </w:tc>
        <w:tc>
          <w:tcPr>
            <w:tcW w:w="280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344"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2013899</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3053"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c>
          <w:tcPr>
            <w:tcW w:w="3073"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c>
          <w:tcPr>
            <w:tcW w:w="2803"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9.59</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9.59</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9.59</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9.59</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9.59</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9.59</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9.84</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9.84</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9.84</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9.84</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9.84</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9.84</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16.91</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16.91</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16.91</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16.91</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13.01</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13.01</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2210203</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3.90</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3.90</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25" w:hRule="atLeast"/>
          <w:jc w:val="center"/>
        </w:trPr>
        <w:tc>
          <w:tcPr>
            <w:tcW w:w="14884"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6"/>
        <w:tblW w:w="15580" w:type="dxa"/>
        <w:tblInd w:w="0" w:type="dxa"/>
        <w:tblLayout w:type="autofit"/>
        <w:tblCellMar>
          <w:top w:w="0" w:type="dxa"/>
          <w:left w:w="108" w:type="dxa"/>
          <w:bottom w:w="0" w:type="dxa"/>
          <w:right w:w="108" w:type="dxa"/>
        </w:tblCellMar>
      </w:tblPr>
      <w:tblGrid>
        <w:gridCol w:w="1330"/>
        <w:gridCol w:w="3347"/>
        <w:gridCol w:w="872"/>
        <w:gridCol w:w="1033"/>
        <w:gridCol w:w="2310"/>
        <w:gridCol w:w="763"/>
        <w:gridCol w:w="914"/>
        <w:gridCol w:w="4182"/>
        <w:gridCol w:w="863"/>
      </w:tblGrid>
      <w:tr>
        <w:tblPrEx>
          <w:tblCellMar>
            <w:top w:w="0" w:type="dxa"/>
            <w:left w:w="108" w:type="dxa"/>
            <w:bottom w:w="0" w:type="dxa"/>
            <w:right w:w="108" w:type="dxa"/>
          </w:tblCellMar>
        </w:tblPrEx>
        <w:trPr>
          <w:trHeight w:val="1000"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湖南省食品和工业产品生产许可审查中心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062" w:hRule="atLeast"/>
        </w:trPr>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197.23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44.86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7.33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11.89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58.33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9.84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27.52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5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198.26</w:t>
            </w:r>
          </w:p>
        </w:tc>
        <w:tc>
          <w:tcPr>
            <w:tcW w:w="915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25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湖南省食品和工业产品生产许可审查中心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0.13</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湖南省食品和工业产品生产许可审查中心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6"/>
        <w:tblW w:w="145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1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12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123"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123"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123"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12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本表为空白表</w:t>
            </w: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,请说明：湖南省食品和工业产品生产许可审查中心没有政府性基金收入，也没有使用政府性基金安排的支出，故本表无数据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5012" w:type="dxa"/>
        <w:tblInd w:w="93" w:type="dxa"/>
        <w:tblLayout w:type="autofit"/>
        <w:tblCellMar>
          <w:top w:w="0" w:type="dxa"/>
          <w:left w:w="108" w:type="dxa"/>
          <w:bottom w:w="0" w:type="dxa"/>
          <w:right w:w="108" w:type="dxa"/>
        </w:tblCellMar>
      </w:tblPr>
      <w:tblGrid>
        <w:gridCol w:w="1060"/>
        <w:gridCol w:w="1649"/>
        <w:gridCol w:w="2598"/>
        <w:gridCol w:w="753"/>
        <w:gridCol w:w="2382"/>
        <w:gridCol w:w="238"/>
        <w:gridCol w:w="3077"/>
        <w:gridCol w:w="3255"/>
      </w:tblGrid>
      <w:tr>
        <w:tblPrEx>
          <w:tblCellMar>
            <w:top w:w="0" w:type="dxa"/>
            <w:left w:w="108" w:type="dxa"/>
            <w:bottom w:w="0" w:type="dxa"/>
            <w:right w:w="108" w:type="dxa"/>
          </w:tblCellMar>
        </w:tblPrEx>
        <w:trPr>
          <w:trHeight w:val="720" w:hRule="atLeast"/>
        </w:trPr>
        <w:tc>
          <w:tcPr>
            <w:tcW w:w="15012" w:type="dxa"/>
            <w:gridSpan w:val="8"/>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49"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98"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3"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3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060"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部门：湖南省食品和工业产品生产许可审查中心</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3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30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70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313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31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2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31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31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5307"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31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1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2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5307"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1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本表为空白表</w:t>
            </w:r>
            <w:r>
              <w:rPr>
                <w:rFonts w:hint="eastAsia" w:ascii="宋体" w:hAnsi="宋体" w:eastAsia="宋体" w:cs="宋体"/>
                <w:kern w:val="0"/>
                <w:sz w:val="24"/>
                <w:szCs w:val="24"/>
              </w:rPr>
              <w:t>　</w:t>
            </w:r>
          </w:p>
        </w:tc>
        <w:tc>
          <w:tcPr>
            <w:tcW w:w="331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1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3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1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3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1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3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1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3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1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3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8"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13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3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5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5012" w:type="dxa"/>
            <w:gridSpan w:val="8"/>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Theme="minorEastAsia" w:hAnsiTheme="minorEastAsia" w:eastAsiaTheme="minorEastAsia"/>
          <w:sz w:val="32"/>
          <w:szCs w:val="32"/>
        </w:rPr>
      </w:pPr>
      <w:r>
        <w:rPr>
          <w:sz w:val="70"/>
          <w:szCs w:val="70"/>
        </w:rPr>
        <w:br w:type="page"/>
      </w: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default" w:asciiTheme="minorEastAsia" w:hAnsiTheme="minorEastAsia" w:eastAsiaTheme="minorEastAsia"/>
          <w:sz w:val="32"/>
          <w:szCs w:val="32"/>
          <w:lang w:val="en-US"/>
        </w:rPr>
        <w:t>419.80</w:t>
      </w:r>
      <w:r>
        <w:rPr>
          <w:rFonts w:hint="eastAsia" w:asciiTheme="minorEastAsia" w:hAnsiTheme="minorEastAsia" w:eastAsiaTheme="minorEastAsia"/>
          <w:sz w:val="32"/>
          <w:szCs w:val="32"/>
        </w:rPr>
        <w:t>万元。与上年相比，减少57.52万元，减少12.05%，主要是因为</w:t>
      </w:r>
      <w:r>
        <w:rPr>
          <w:rFonts w:hint="default" w:asciiTheme="minorEastAsia" w:hAnsiTheme="minorEastAsia" w:eastAsiaTheme="minorEastAsia"/>
          <w:sz w:val="32"/>
          <w:szCs w:val="32"/>
          <w:lang w:val="en-US"/>
        </w:rPr>
        <w:t>:1、贯彻落实过“紧日子”的要求，压减了一般性支出。</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2021年度收入合计398.26万元，其中：财政拨款收入398.16万元，占99.97%；上级补助收入0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决算数为</w:t>
      </w:r>
      <w:r>
        <w:rPr>
          <w:rFonts w:hint="eastAsia" w:asciiTheme="minorEastAsia" w:hAnsiTheme="minorEastAsia" w:eastAsiaTheme="minorEastAsia"/>
          <w:sz w:val="32"/>
          <w:szCs w:val="32"/>
          <w:lang w:val="en-US" w:eastAsia="zh-CN"/>
        </w:rPr>
        <w:t>0元，无法计算百分比</w:t>
      </w:r>
      <w:r>
        <w:rPr>
          <w:rFonts w:hint="eastAsia" w:asciiTheme="minorEastAsia" w:hAnsiTheme="minorEastAsia" w:eastAsiaTheme="minorEastAsia"/>
          <w:sz w:val="32"/>
          <w:szCs w:val="32"/>
        </w:rPr>
        <w:t>；事业收入0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决算数为</w:t>
      </w:r>
      <w:r>
        <w:rPr>
          <w:rFonts w:hint="eastAsia" w:asciiTheme="minorEastAsia" w:hAnsiTheme="minorEastAsia" w:eastAsiaTheme="minorEastAsia"/>
          <w:sz w:val="32"/>
          <w:szCs w:val="32"/>
          <w:lang w:val="en-US" w:eastAsia="zh-CN"/>
        </w:rPr>
        <w:t>0元，无法计算百分比</w:t>
      </w:r>
      <w:r>
        <w:rPr>
          <w:rFonts w:hint="eastAsia" w:asciiTheme="minorEastAsia" w:hAnsiTheme="minorEastAsia" w:eastAsiaTheme="minorEastAsia"/>
          <w:sz w:val="32"/>
          <w:szCs w:val="32"/>
        </w:rPr>
        <w:t>；经营收入0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决算数为</w:t>
      </w:r>
      <w:r>
        <w:rPr>
          <w:rFonts w:hint="eastAsia" w:asciiTheme="minorEastAsia" w:hAnsiTheme="minorEastAsia" w:eastAsiaTheme="minorEastAsia"/>
          <w:sz w:val="32"/>
          <w:szCs w:val="32"/>
          <w:lang w:val="en-US" w:eastAsia="zh-CN"/>
        </w:rPr>
        <w:t>0元，无法计算百分比</w:t>
      </w:r>
      <w:r>
        <w:rPr>
          <w:rFonts w:hint="eastAsia" w:asciiTheme="minorEastAsia" w:hAnsiTheme="minorEastAsia" w:eastAsiaTheme="minorEastAsia"/>
          <w:sz w:val="32"/>
          <w:szCs w:val="32"/>
        </w:rPr>
        <w:t>；附属单位上缴收入0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决算数为</w:t>
      </w:r>
      <w:r>
        <w:rPr>
          <w:rFonts w:hint="eastAsia" w:asciiTheme="minorEastAsia" w:hAnsiTheme="minorEastAsia" w:eastAsiaTheme="minorEastAsia"/>
          <w:sz w:val="32"/>
          <w:szCs w:val="32"/>
          <w:lang w:val="en-US" w:eastAsia="zh-CN"/>
        </w:rPr>
        <w:t>0元，无法计算百分比</w:t>
      </w:r>
      <w:r>
        <w:rPr>
          <w:rFonts w:hint="eastAsia" w:asciiTheme="minorEastAsia" w:hAnsiTheme="minorEastAsia" w:eastAsiaTheme="minorEastAsia"/>
          <w:sz w:val="32"/>
          <w:szCs w:val="32"/>
        </w:rPr>
        <w:t>；其他收入0.10万元，占0.03%。</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2021年度支出合计392.77万元，其中：基本支出228.36万元，占58.14%；项目支出164.41万元，占41.86%；上缴上级支出0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决算数为</w:t>
      </w:r>
      <w:r>
        <w:rPr>
          <w:rFonts w:hint="eastAsia" w:asciiTheme="minorEastAsia" w:hAnsiTheme="minorEastAsia" w:eastAsiaTheme="minorEastAsia"/>
          <w:sz w:val="32"/>
          <w:szCs w:val="32"/>
          <w:lang w:val="en-US" w:eastAsia="zh-CN"/>
        </w:rPr>
        <w:t>0元，无法计算百分比</w:t>
      </w:r>
      <w:r>
        <w:rPr>
          <w:rFonts w:hint="eastAsia" w:asciiTheme="minorEastAsia" w:hAnsiTheme="minorEastAsia" w:eastAsiaTheme="minorEastAsia"/>
          <w:sz w:val="32"/>
          <w:szCs w:val="32"/>
        </w:rPr>
        <w:t>；经营支出0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决算数为</w:t>
      </w:r>
      <w:r>
        <w:rPr>
          <w:rFonts w:hint="eastAsia" w:asciiTheme="minorEastAsia" w:hAnsiTheme="minorEastAsia" w:eastAsiaTheme="minorEastAsia"/>
          <w:sz w:val="32"/>
          <w:szCs w:val="32"/>
          <w:lang w:val="en-US" w:eastAsia="zh-CN"/>
        </w:rPr>
        <w:t>0元，无法计算百分比</w:t>
      </w:r>
      <w:r>
        <w:rPr>
          <w:rFonts w:hint="eastAsia" w:asciiTheme="minorEastAsia" w:hAnsiTheme="minorEastAsia" w:eastAsiaTheme="minorEastAsia"/>
          <w:sz w:val="32"/>
          <w:szCs w:val="32"/>
        </w:rPr>
        <w:t>；对附属单位补助支出0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r>
        <w:rPr>
          <w:rFonts w:hint="default" w:asciiTheme="minorEastAsia" w:hAnsiTheme="minorEastAsia" w:eastAsiaTheme="minorEastAsia"/>
          <w:sz w:val="32"/>
          <w:szCs w:val="32"/>
          <w:lang w:val="en-US"/>
        </w:rPr>
        <w:t>,</w:t>
      </w:r>
      <w:r>
        <w:rPr>
          <w:rFonts w:hint="eastAsia" w:asciiTheme="minorEastAsia" w:hAnsiTheme="minorEastAsia" w:eastAsiaTheme="minorEastAsia"/>
          <w:sz w:val="32"/>
          <w:szCs w:val="32"/>
          <w:lang w:eastAsia="zh-CN"/>
        </w:rPr>
        <w:t>决算数为</w:t>
      </w:r>
      <w:r>
        <w:rPr>
          <w:rFonts w:hint="eastAsia" w:asciiTheme="minorEastAsia" w:hAnsiTheme="minorEastAsia" w:eastAsiaTheme="minorEastAsia"/>
          <w:sz w:val="32"/>
          <w:szCs w:val="32"/>
          <w:lang w:val="en-US" w:eastAsia="zh-CN"/>
        </w:rPr>
        <w:t>0元，无法计算百分比</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2021年度财政拨款收、支总计419.70万元，与上年相比，减少36.77万元,减少8.06%，</w:t>
      </w:r>
      <w:r>
        <w:rPr>
          <w:rFonts w:hint="eastAsia" w:asciiTheme="minorEastAsia" w:hAnsiTheme="minorEastAsia" w:eastAsiaTheme="minorEastAsia"/>
          <w:sz w:val="32"/>
          <w:szCs w:val="32"/>
          <w:highlight w:val="none"/>
        </w:rPr>
        <w:t>主要是因为</w:t>
      </w:r>
      <w:r>
        <w:rPr>
          <w:rFonts w:hint="default" w:asciiTheme="minorEastAsia" w:hAnsiTheme="minorEastAsia" w:eastAsiaTheme="minorEastAsia"/>
          <w:sz w:val="32"/>
          <w:szCs w:val="32"/>
          <w:highlight w:val="none"/>
          <w:lang w:val="en-US"/>
        </w:rPr>
        <w:t>贯彻落</w:t>
      </w:r>
      <w:r>
        <w:rPr>
          <w:rFonts w:hint="default" w:asciiTheme="minorEastAsia" w:hAnsiTheme="minorEastAsia" w:eastAsiaTheme="minorEastAsia"/>
          <w:sz w:val="32"/>
          <w:szCs w:val="32"/>
          <w:lang w:val="en-US"/>
        </w:rPr>
        <w:t>实过“紧日子”的要求，压减了一般性支出。</w:t>
      </w:r>
    </w:p>
    <w:p>
      <w:pPr>
        <w:pStyle w:val="11"/>
        <w:rPr>
          <w:rFonts w:hAnsi="黑体"/>
          <w:b/>
          <w:sz w:val="32"/>
          <w:szCs w:val="32"/>
        </w:rPr>
      </w:pPr>
      <w:r>
        <w:rPr>
          <w:rFonts w:hint="eastAsia" w:hAnsi="黑体"/>
          <w:b/>
          <w:sz w:val="32"/>
          <w:szCs w:val="32"/>
        </w:rPr>
        <w:t>五、一般公共预算财政拨款支出决算情况说明</w:t>
      </w:r>
    </w:p>
    <w:p>
      <w:pPr>
        <w:pStyle w:val="11"/>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2021年度财政拨款支出398.16万元，占本年支出合计的</w:t>
      </w:r>
      <w:r>
        <w:rPr>
          <w:rFonts w:hint="eastAsia" w:asciiTheme="minorEastAsia" w:hAnsiTheme="minorEastAsia" w:eastAsiaTheme="minorEastAsia"/>
          <w:sz w:val="32"/>
          <w:szCs w:val="32"/>
          <w:lang w:val="en-US" w:eastAsia="zh-CN"/>
        </w:rPr>
        <w:t>100.00</w:t>
      </w:r>
      <w:r>
        <w:rPr>
          <w:rFonts w:hint="eastAsia" w:asciiTheme="minorEastAsia" w:hAnsiTheme="minorEastAsia" w:eastAsiaTheme="minorEastAsia"/>
          <w:sz w:val="32"/>
          <w:szCs w:val="32"/>
        </w:rPr>
        <w:t>%，与上年相比，财政拨款支出增加49.99万元，增长14.36%，主要是因为</w:t>
      </w:r>
      <w:r>
        <w:rPr>
          <w:rFonts w:hint="eastAsia" w:asciiTheme="minorEastAsia" w:hAnsiTheme="minorEastAsia" w:eastAsiaTheme="minorEastAsia"/>
          <w:sz w:val="32"/>
          <w:szCs w:val="32"/>
          <w:lang w:val="en-US" w:eastAsia="zh-CN"/>
        </w:rPr>
        <w:t>2021年增加了一般公共预算财政拨款。</w:t>
      </w:r>
    </w:p>
    <w:p>
      <w:pPr>
        <w:pStyle w:val="11"/>
        <w:ind w:firstLine="481"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b/>
          <w:sz w:val="32"/>
          <w:szCs w:val="32"/>
        </w:rPr>
      </w:pPr>
      <w:r>
        <w:rPr>
          <w:rFonts w:hint="eastAsia" w:asciiTheme="minorEastAsia" w:hAnsiTheme="minorEastAsia" w:eastAsiaTheme="minorEastAsia"/>
          <w:sz w:val="32"/>
          <w:szCs w:val="32"/>
        </w:rPr>
        <w:t>2021年度财政拨款支出392.67万元，主要用于以下方面：一般公共服务（类）支出356.33万元，占90.75%；社会保障和就业支出9.59万元，占2.44%;卫生健康支出9.84万元，占2.51%</w:t>
      </w:r>
      <w:r>
        <w:rPr>
          <w:rFonts w:hint="eastAsia" w:asciiTheme="minorEastAsia" w:hAnsiTheme="minorEastAsia" w:eastAsiaTheme="minorEastAsia"/>
          <w:sz w:val="32"/>
          <w:szCs w:val="32"/>
          <w:lang w:eastAsia="zh-CN"/>
        </w:rPr>
        <w:t>；住房保障支出16.91万元，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eastAsia="zh-CN"/>
        </w:rPr>
        <w:t>4.31%。</w:t>
      </w:r>
    </w:p>
    <w:p>
      <w:pPr>
        <w:pStyle w:val="11"/>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2021年度财政拨款支出年初预算数为389.76万元，支出决算数为392.67万元，完成年初预算的100.75%，其中：</w:t>
      </w:r>
    </w:p>
    <w:p>
      <w:pPr>
        <w:pStyle w:val="11"/>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一般公共服务支出（类）市场监督管理事务（款）市场主体管理（项）</w:t>
      </w:r>
    </w:p>
    <w:p>
      <w:pPr>
        <w:pStyle w:val="11"/>
        <w:numPr>
          <w:ilvl w:val="0"/>
          <w:numId w:val="0"/>
        </w:numPr>
        <w:ind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135.00</w:t>
      </w:r>
      <w:r>
        <w:rPr>
          <w:rFonts w:hint="eastAsia" w:asciiTheme="minorEastAsia" w:hAnsiTheme="minorEastAsia" w:eastAsiaTheme="minorEastAsia"/>
          <w:sz w:val="32"/>
          <w:szCs w:val="32"/>
        </w:rPr>
        <w:t>万元，支出决算为130.45万元，完成年初预算的96.63%，决算数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val="en-US" w:eastAsia="zh-CN"/>
        </w:rPr>
        <w:t>严格控制一般性支出。</w:t>
      </w:r>
    </w:p>
    <w:p>
      <w:pPr>
        <w:pStyle w:val="11"/>
        <w:numPr>
          <w:ilvl w:val="0"/>
          <w:numId w:val="3"/>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一般公共服务支出（类）市场监督管理事务（款）</w:t>
      </w:r>
      <w:r>
        <w:rPr>
          <w:rFonts w:hint="eastAsia" w:asciiTheme="minorEastAsia" w:hAnsiTheme="minorEastAsia" w:eastAsiaTheme="minorEastAsia"/>
          <w:sz w:val="32"/>
          <w:szCs w:val="32"/>
          <w:lang w:val="en-US" w:eastAsia="zh-CN"/>
        </w:rPr>
        <w:t>质量安全监管</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万元，支出决算为29.96万元，完成年初预算的</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项目支出增加。</w:t>
      </w:r>
    </w:p>
    <w:p>
      <w:pPr>
        <w:pStyle w:val="11"/>
        <w:numPr>
          <w:ilvl w:val="0"/>
          <w:numId w:val="3"/>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一般公共服务支出（类）市场监督管理事务（款）</w:t>
      </w:r>
      <w:r>
        <w:rPr>
          <w:rFonts w:hint="eastAsia" w:asciiTheme="minorEastAsia" w:hAnsiTheme="minorEastAsia" w:eastAsiaTheme="minorEastAsia"/>
          <w:sz w:val="32"/>
          <w:szCs w:val="32"/>
          <w:lang w:val="en-US" w:eastAsia="zh-CN"/>
        </w:rPr>
        <w:t>事业运行</w:t>
      </w:r>
      <w:r>
        <w:rPr>
          <w:rFonts w:hint="eastAsia" w:asciiTheme="minorEastAsia" w:hAnsiTheme="minorEastAsia" w:eastAsiaTheme="minorEastAsia"/>
          <w:sz w:val="32"/>
          <w:szCs w:val="32"/>
        </w:rPr>
        <w:t>（项）</w:t>
      </w:r>
    </w:p>
    <w:p>
      <w:pPr>
        <w:pStyle w:val="11"/>
        <w:numPr>
          <w:ilvl w:val="0"/>
          <w:numId w:val="0"/>
        </w:numPr>
        <w:ind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209.36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195.92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93.58%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val="en-US" w:eastAsia="zh-CN"/>
        </w:rPr>
        <w:t>严格控制一般性支出。</w:t>
      </w:r>
    </w:p>
    <w:p>
      <w:pPr>
        <w:pStyle w:val="11"/>
        <w:numPr>
          <w:ilvl w:val="0"/>
          <w:numId w:val="3"/>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一般公共服务支出（类）市场监督管理事务（款）其他市场监督管理事务（项）</w:t>
      </w:r>
    </w:p>
    <w:p>
      <w:pPr>
        <w:pStyle w:val="11"/>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val="en-US" w:eastAsia="zh-CN"/>
        </w:rPr>
        <w:t>严格控制一般性支出。</w:t>
      </w:r>
    </w:p>
    <w:p>
      <w:pPr>
        <w:pStyle w:val="11"/>
        <w:numPr>
          <w:ilvl w:val="0"/>
          <w:numId w:val="3"/>
        </w:numPr>
        <w:ind w:left="0" w:leftChars="0" w:firstLine="800" w:firstLineChars="250"/>
        <w:jc w:val="both"/>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（类）行政事业单位养老支出（款）机关事业单位基本养老保险缴费支出（项）</w:t>
      </w:r>
    </w:p>
    <w:p>
      <w:pPr>
        <w:pStyle w:val="11"/>
        <w:numPr>
          <w:ilvl w:val="0"/>
          <w:numId w:val="0"/>
        </w:numPr>
        <w:ind w:firstLine="960" w:firstLineChars="3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lang w:val="en-US" w:eastAsia="zh-CN"/>
        </w:rPr>
        <w:t>年初预算为16.00万元，支出决算为9.59万元，完成年初预算的59.94%，决算数小于年初预算数的主要原因是：</w:t>
      </w:r>
      <w:r>
        <w:rPr>
          <w:rFonts w:hint="eastAsia" w:asciiTheme="minorEastAsia" w:hAnsiTheme="minorEastAsia" w:eastAsiaTheme="minorEastAsia"/>
          <w:sz w:val="32"/>
          <w:szCs w:val="32"/>
          <w:highlight w:val="none"/>
          <w:lang w:val="en-US" w:eastAsia="zh-CN"/>
        </w:rPr>
        <w:t>严格控制支出。</w:t>
      </w:r>
    </w:p>
    <w:p>
      <w:pPr>
        <w:pStyle w:val="11"/>
        <w:numPr>
          <w:ilvl w:val="0"/>
          <w:numId w:val="3"/>
        </w:numPr>
        <w:ind w:left="0" w:leftChars="0" w:firstLine="800" w:firstLineChars="25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卫生健康支出</w:t>
      </w:r>
      <w:r>
        <w:rPr>
          <w:rFonts w:hint="eastAsia" w:asciiTheme="minorEastAsia" w:hAnsiTheme="minorEastAsia" w:eastAsiaTheme="minorEastAsia"/>
          <w:sz w:val="32"/>
          <w:szCs w:val="32"/>
        </w:rPr>
        <w:t>（类）行政事业单位医疗（款）事业单位医疗（项）</w:t>
      </w:r>
    </w:p>
    <w:p>
      <w:pPr>
        <w:pStyle w:val="11"/>
        <w:numPr>
          <w:ilvl w:val="0"/>
          <w:numId w:val="0"/>
        </w:numPr>
        <w:ind w:firstLine="960" w:firstLineChars="3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lang w:val="en-US" w:eastAsia="zh-CN"/>
        </w:rPr>
        <w:t>年初预算为10.00万元，支出决算为9.84万元，完成年初预算的98.40%，决算数小于年初预算数的主要原因是：</w:t>
      </w:r>
      <w:r>
        <w:rPr>
          <w:rFonts w:hint="eastAsia" w:asciiTheme="minorEastAsia" w:hAnsiTheme="minorEastAsia" w:eastAsiaTheme="minorEastAsia"/>
          <w:sz w:val="32"/>
          <w:szCs w:val="32"/>
          <w:highlight w:val="none"/>
          <w:lang w:val="en-US" w:eastAsia="zh-CN"/>
        </w:rPr>
        <w:t>预算与决算基本持平。</w:t>
      </w:r>
    </w:p>
    <w:p>
      <w:pPr>
        <w:pStyle w:val="11"/>
        <w:numPr>
          <w:ilvl w:val="0"/>
          <w:numId w:val="0"/>
        </w:numPr>
        <w:ind w:firstLine="640" w:firstLineChars="200"/>
        <w:jc w:val="both"/>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7、住房保障支出（类）住房改革支出（款）住房公积金（项）</w:t>
      </w:r>
    </w:p>
    <w:p>
      <w:pPr>
        <w:pStyle w:val="11"/>
        <w:numPr>
          <w:ilvl w:val="0"/>
          <w:numId w:val="0"/>
        </w:numPr>
        <w:ind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年初预算为13.50万元，支出决算为13.01万元，完成年初预算的96.37%，决算数小于年初预算数的主要原因是：预算与决算基本持平。</w:t>
      </w:r>
    </w:p>
    <w:p>
      <w:pPr>
        <w:pStyle w:val="11"/>
        <w:numPr>
          <w:ilvl w:val="0"/>
          <w:numId w:val="0"/>
        </w:numPr>
        <w:ind w:firstLine="640" w:firstLineChars="200"/>
        <w:jc w:val="both"/>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8、住房保障支出（类）住房改革支出（款）购房补贴（项）</w:t>
      </w:r>
    </w:p>
    <w:p>
      <w:pPr>
        <w:pStyle w:val="11"/>
        <w:numPr>
          <w:ilvl w:val="0"/>
          <w:numId w:val="0"/>
        </w:numPr>
        <w:ind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年初预算为3.90万元，支出决算为3.90万元，完成年初预算的100.00%。</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default" w:asciiTheme="minorEastAsia" w:hAnsiTheme="minorEastAsia" w:eastAsiaTheme="minorEastAsia"/>
          <w:sz w:val="32"/>
          <w:szCs w:val="32"/>
          <w:lang w:val="en-US"/>
        </w:rPr>
        <w:t>228.26</w:t>
      </w:r>
      <w:r>
        <w:rPr>
          <w:rFonts w:hint="eastAsia" w:asciiTheme="minorEastAsia" w:hAnsiTheme="minorEastAsia" w:eastAsiaTheme="minorEastAsia"/>
          <w:sz w:val="32"/>
          <w:szCs w:val="32"/>
        </w:rPr>
        <w:t>万元，其中：人员经费198.26万元，占基本支出的86.86%,主要包括基本工资、津贴补贴、奖金、伙食补助费</w:t>
      </w:r>
      <w:r>
        <w:rPr>
          <w:rFonts w:hint="eastAsia" w:asciiTheme="minorEastAsia" w:hAnsiTheme="minorEastAsia" w:eastAsiaTheme="minorEastAsia"/>
          <w:sz w:val="32"/>
          <w:szCs w:val="32"/>
          <w:lang w:eastAsia="zh-CN"/>
        </w:rPr>
        <w:t>、绩效工资、机关事业单位基本养老保险缴费、其他社会保障缴费、住房公积金、其他工资福利支出、退休费</w:t>
      </w:r>
      <w:r>
        <w:rPr>
          <w:rFonts w:hint="eastAsia" w:asciiTheme="minorEastAsia" w:hAnsiTheme="minorEastAsia" w:eastAsiaTheme="minorEastAsia"/>
          <w:sz w:val="32"/>
          <w:szCs w:val="32"/>
        </w:rPr>
        <w:t>；公用经费30.00万元，占基本支出的13.14%，主要包括办公费、印刷费、差旅费、维修（护）费</w:t>
      </w:r>
      <w:r>
        <w:rPr>
          <w:rFonts w:hint="eastAsia" w:asciiTheme="minorEastAsia" w:hAnsiTheme="minorEastAsia" w:eastAsiaTheme="minorEastAsia"/>
          <w:sz w:val="32"/>
          <w:szCs w:val="32"/>
          <w:lang w:eastAsia="zh-CN"/>
        </w:rPr>
        <w:t>、培训费、公务接待费、  委托业务费、工会经费、福利费、其他交通费用、税金及附加费用、其他商品和服务支出</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2021年度“三公”经费财政拨款支出预算为0.40万元，支出决算为0.13万元，完成预算的32.50%，其中：</w:t>
      </w:r>
    </w:p>
    <w:p>
      <w:pPr>
        <w:pStyle w:val="11"/>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因公出国（境）费支出预算为0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万元，支出决算为0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lang w:val="en-US" w:eastAsia="zh-CN"/>
        </w:rPr>
        <w:t>由于预算数为0，无法计算百分比</w:t>
      </w:r>
      <w:r>
        <w:rPr>
          <w:rFonts w:hint="eastAsia" w:asciiTheme="minorEastAsia" w:hAnsiTheme="minorEastAsia" w:eastAsiaTheme="minorEastAsia"/>
          <w:color w:val="auto"/>
          <w:sz w:val="32"/>
          <w:szCs w:val="32"/>
        </w:rPr>
        <w:t>。</w:t>
      </w:r>
    </w:p>
    <w:p>
      <w:pPr>
        <w:pStyle w:val="11"/>
        <w:ind w:firstLine="800"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公务接待费支出预算为0.40万元，支出决算为</w:t>
      </w:r>
      <w:r>
        <w:rPr>
          <w:rFonts w:hint="eastAsia" w:asciiTheme="minorEastAsia" w:hAnsiTheme="minorEastAsia" w:eastAsiaTheme="minorEastAsia"/>
          <w:color w:val="auto"/>
          <w:sz w:val="32"/>
          <w:szCs w:val="32"/>
          <w:lang w:val="en-US" w:eastAsia="zh-CN"/>
        </w:rPr>
        <w:t>0.13</w:t>
      </w:r>
      <w:r>
        <w:rPr>
          <w:rFonts w:hint="eastAsia" w:asciiTheme="minorEastAsia" w:hAnsiTheme="minorEastAsia" w:eastAsiaTheme="minorEastAsia"/>
          <w:color w:val="auto"/>
          <w:sz w:val="32"/>
          <w:szCs w:val="32"/>
        </w:rPr>
        <w:t>万元，完成预算的32.50%，决算数小于预算数的主要原因是</w:t>
      </w:r>
      <w:r>
        <w:rPr>
          <w:rFonts w:hint="eastAsia" w:asciiTheme="minorEastAsia" w:hAnsiTheme="minorEastAsia" w:eastAsiaTheme="minorEastAsia"/>
          <w:color w:val="auto"/>
          <w:sz w:val="32"/>
          <w:szCs w:val="32"/>
          <w:lang w:eastAsia="zh-CN"/>
        </w:rPr>
        <w:t>：严格控制三公经费支出</w:t>
      </w:r>
      <w:r>
        <w:rPr>
          <w:rFonts w:hint="eastAsia" w:asciiTheme="minorEastAsia" w:hAnsiTheme="minorEastAsia" w:eastAsiaTheme="minorEastAsia"/>
          <w:color w:val="auto"/>
          <w:sz w:val="32"/>
          <w:szCs w:val="32"/>
        </w:rPr>
        <w:t>，与上年相比减少0.52万元，减少79.84%,减少（增长）的主要原因是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lang w:eastAsia="zh-CN"/>
        </w:rPr>
        <w:t>严格控制三公经费支出</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2、2021年度公车已拍卖，减少了公务用车运行维护费。</w:t>
      </w:r>
    </w:p>
    <w:p>
      <w:pPr>
        <w:pStyle w:val="11"/>
        <w:ind w:firstLine="800"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公务用车购置费及运行维护费费支出预算为0</w:t>
      </w:r>
      <w:r>
        <w:rPr>
          <w:rFonts w:hint="default"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lang w:val="en-US" w:eastAsia="zh-CN"/>
        </w:rPr>
        <w:t>万元，支出决算为0</w:t>
      </w:r>
      <w:r>
        <w:rPr>
          <w:rFonts w:hint="default"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lang w:val="en-US" w:eastAsia="zh-CN"/>
        </w:rPr>
        <w:t>万元，由于预算数为0，无法计算百分比。</w:t>
      </w:r>
    </w:p>
    <w:p>
      <w:pPr>
        <w:pStyle w:val="11"/>
        <w:ind w:firstLine="321" w:firstLineChars="1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11"/>
        <w:ind w:firstLine="640" w:firstLineChars="200"/>
        <w:rPr>
          <w:rFonts w:hint="default" w:eastAsia="黑体" w:asciiTheme="minorEastAsia" w:hAnsiTheme="minorEastAsia"/>
          <w:color w:val="auto"/>
          <w:sz w:val="32"/>
          <w:szCs w:val="32"/>
          <w:lang w:val="en-US" w:eastAsia="zh-CN"/>
        </w:rPr>
      </w:pPr>
      <w:r>
        <w:rPr>
          <w:rFonts w:hint="eastAsia" w:asciiTheme="minorEastAsia" w:hAnsiTheme="minorEastAsia" w:eastAsiaTheme="minorEastAsia"/>
          <w:color w:val="auto"/>
          <w:sz w:val="32"/>
          <w:szCs w:val="32"/>
        </w:rPr>
        <w:t>2021年度“三公”经费财政拨款支出决算中，公务接待费支出决算0.13万元，占</w:t>
      </w:r>
      <w:r>
        <w:rPr>
          <w:rFonts w:hint="eastAsia" w:asciiTheme="minorEastAsia" w:hAnsiTheme="minorEastAsia" w:eastAsiaTheme="minorEastAsia"/>
          <w:color w:val="auto"/>
          <w:sz w:val="32"/>
          <w:szCs w:val="32"/>
          <w:lang w:val="en-US" w:eastAsia="zh-CN"/>
        </w:rPr>
        <w:t>100.00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因公出国（境）费支出决算为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，决算数为</w:t>
      </w:r>
      <w:r>
        <w:rPr>
          <w:rFonts w:hint="eastAsia" w:asciiTheme="minorEastAsia" w:hAnsiTheme="minorEastAsia" w:eastAsiaTheme="minorEastAsia"/>
          <w:color w:val="auto"/>
          <w:sz w:val="32"/>
          <w:szCs w:val="32"/>
          <w:lang w:val="en-US" w:eastAsia="zh-CN"/>
        </w:rPr>
        <w:t>0元，无法计算百分比；</w:t>
      </w:r>
      <w:r>
        <w:rPr>
          <w:rFonts w:hint="eastAsia" w:asciiTheme="minorEastAsia" w:hAnsiTheme="minorEastAsia" w:eastAsiaTheme="minorEastAsia"/>
          <w:color w:val="auto"/>
          <w:sz w:val="32"/>
          <w:szCs w:val="32"/>
        </w:rPr>
        <w:t>公务用车购置费及运行维护费支出决算为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，决算数为</w:t>
      </w:r>
      <w:r>
        <w:rPr>
          <w:rFonts w:hint="eastAsia" w:asciiTheme="minorEastAsia" w:hAnsiTheme="minorEastAsia" w:eastAsiaTheme="minorEastAsia"/>
          <w:color w:val="auto"/>
          <w:sz w:val="32"/>
          <w:szCs w:val="32"/>
          <w:lang w:val="en-US" w:eastAsia="zh-CN"/>
        </w:rPr>
        <w:t>0元，无法计算百分比。其中：</w:t>
      </w:r>
    </w:p>
    <w:p>
      <w:pPr>
        <w:pStyle w:val="11"/>
        <w:numPr>
          <w:ilvl w:val="0"/>
          <w:numId w:val="4"/>
        </w:numP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公务接待费支出决算为0.13万元，全年共接待来访团组</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个、来宾</w:t>
      </w: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人，主要是食品</w:t>
      </w:r>
      <w:r>
        <w:rPr>
          <w:rFonts w:hint="eastAsia" w:asciiTheme="minorEastAsia" w:hAnsiTheme="minorEastAsia" w:eastAsiaTheme="minorEastAsia"/>
          <w:color w:val="auto"/>
          <w:sz w:val="32"/>
          <w:szCs w:val="32"/>
          <w:lang w:eastAsia="zh-CN"/>
        </w:rPr>
        <w:t>及</w:t>
      </w:r>
      <w:r>
        <w:rPr>
          <w:rFonts w:hint="eastAsia" w:asciiTheme="minorEastAsia" w:hAnsiTheme="minorEastAsia" w:eastAsiaTheme="minorEastAsia"/>
          <w:color w:val="auto"/>
          <w:sz w:val="32"/>
          <w:szCs w:val="32"/>
        </w:rPr>
        <w:t>相关产品</w:t>
      </w:r>
      <w:r>
        <w:rPr>
          <w:rFonts w:hint="eastAsia" w:asciiTheme="minorEastAsia" w:hAnsiTheme="minorEastAsia" w:eastAsiaTheme="minorEastAsia"/>
          <w:color w:val="auto"/>
          <w:sz w:val="32"/>
          <w:szCs w:val="32"/>
          <w:lang w:eastAsia="zh-CN"/>
        </w:rPr>
        <w:t>检查活动</w:t>
      </w:r>
      <w:r>
        <w:rPr>
          <w:rFonts w:hint="eastAsia" w:asciiTheme="minorEastAsia" w:hAnsiTheme="minorEastAsia" w:eastAsiaTheme="minorEastAsia"/>
          <w:color w:val="auto"/>
          <w:sz w:val="32"/>
          <w:szCs w:val="32"/>
        </w:rPr>
        <w:t>发生的接待支出。</w:t>
      </w:r>
    </w:p>
    <w:p>
      <w:pPr>
        <w:pStyle w:val="11"/>
        <w:numPr>
          <w:ilvl w:val="0"/>
          <w:numId w:val="4"/>
        </w:numPr>
        <w:ind w:left="0" w:leftChars="0"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因公出国（境）费支出决算为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万元，全年安排因公出国（境）团组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，累计</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w:t>
      </w:r>
      <w:r>
        <w:rPr>
          <w:rFonts w:hint="eastAsia" w:asciiTheme="minorEastAsia" w:hAnsiTheme="minorEastAsia" w:eastAsiaTheme="minorEastAsia"/>
          <w:color w:val="auto"/>
          <w:sz w:val="32"/>
          <w:szCs w:val="32"/>
          <w:lang w:eastAsia="zh-CN"/>
        </w:rPr>
        <w:t>。</w:t>
      </w:r>
    </w:p>
    <w:p>
      <w:pPr>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color w:val="auto"/>
          <w:sz w:val="32"/>
          <w:szCs w:val="32"/>
        </w:rPr>
        <w:t>3、公务用车购置费及运行维护费支出决算为</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万元，其中：公务用车购置费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万元，更新公务用车</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辆。公务用车运行维护费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万元，截止2021年12月31日，我单位开支财政拨款的公务用车</w:t>
      </w:r>
      <w:r>
        <w:rPr>
          <w:rFonts w:hint="eastAsia" w:asciiTheme="minorEastAsia" w:hAnsiTheme="minorEastAsia"/>
          <w:color w:val="auto"/>
          <w:sz w:val="32"/>
          <w:szCs w:val="32"/>
          <w:lang w:val="en-US" w:eastAsia="zh-CN"/>
        </w:rPr>
        <w:t>购置数为0辆，</w:t>
      </w:r>
      <w:r>
        <w:rPr>
          <w:rFonts w:hint="eastAsia" w:asciiTheme="minorEastAsia" w:hAnsiTheme="minorEastAsia"/>
          <w:color w:val="auto"/>
          <w:sz w:val="32"/>
          <w:szCs w:val="32"/>
        </w:rPr>
        <w:t>保有量为</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辆。</w:t>
      </w:r>
    </w:p>
    <w:p>
      <w:pPr>
        <w:pStyle w:val="11"/>
        <w:rPr>
          <w:rFonts w:hAnsi="黑体"/>
          <w:b/>
          <w:color w:val="auto"/>
          <w:sz w:val="32"/>
          <w:szCs w:val="32"/>
        </w:rPr>
      </w:pPr>
      <w:r>
        <w:rPr>
          <w:rFonts w:hint="eastAsia" w:hAnsi="黑体"/>
          <w:b/>
          <w:color w:val="auto"/>
          <w:sz w:val="32"/>
          <w:szCs w:val="32"/>
        </w:rPr>
        <w:t>八、政府性基金预算收入支出决算情况</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2021年度我单位无政府性基金预算收入。</w:t>
      </w:r>
    </w:p>
    <w:p>
      <w:pPr>
        <w:pStyle w:val="11"/>
        <w:rPr>
          <w:rFonts w:hAnsi="黑体"/>
          <w:b/>
          <w:color w:val="auto"/>
          <w:sz w:val="32"/>
          <w:szCs w:val="32"/>
        </w:rPr>
      </w:pPr>
      <w:r>
        <w:rPr>
          <w:rFonts w:hint="eastAsia" w:hAnsi="黑体"/>
          <w:b/>
          <w:color w:val="auto"/>
          <w:sz w:val="32"/>
          <w:szCs w:val="32"/>
        </w:rPr>
        <w:t>九、机关运行经费支出说明</w:t>
      </w:r>
    </w:p>
    <w:p>
      <w:pPr>
        <w:pStyle w:val="11"/>
        <w:ind w:firstLine="640" w:firstLineChars="20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本部门2021年度机关运行经费支出</w:t>
      </w:r>
      <w:r>
        <w:rPr>
          <w:rFonts w:hint="default" w:asciiTheme="minorEastAsia" w:hAnsiTheme="minorEastAsia" w:eastAsiaTheme="minorEastAsia"/>
          <w:color w:val="auto"/>
          <w:sz w:val="32"/>
          <w:szCs w:val="32"/>
          <w:lang w:val="en-US"/>
        </w:rPr>
        <w:t>30.00</w:t>
      </w:r>
      <w:r>
        <w:rPr>
          <w:rFonts w:hint="eastAsia" w:asciiTheme="minorEastAsia" w:hAnsiTheme="minorEastAsia" w:eastAsiaTheme="minorEastAsia"/>
          <w:color w:val="auto"/>
          <w:sz w:val="32"/>
          <w:szCs w:val="32"/>
        </w:rPr>
        <w:t>万元，比上年决算数增加</w:t>
      </w:r>
      <w:r>
        <w:rPr>
          <w:rFonts w:hint="default" w:asciiTheme="minorEastAsia" w:hAnsiTheme="minorEastAsia" w:eastAsiaTheme="minorEastAsia"/>
          <w:color w:val="auto"/>
          <w:sz w:val="32"/>
          <w:szCs w:val="32"/>
          <w:lang w:val="en-US"/>
        </w:rPr>
        <w:t>12.38</w:t>
      </w:r>
      <w:r>
        <w:rPr>
          <w:rFonts w:hint="eastAsia" w:asciiTheme="minorEastAsia" w:hAnsiTheme="minorEastAsia" w:eastAsiaTheme="minorEastAsia"/>
          <w:color w:val="auto"/>
          <w:sz w:val="32"/>
          <w:szCs w:val="32"/>
        </w:rPr>
        <w:t>万元，增长</w:t>
      </w:r>
      <w:r>
        <w:rPr>
          <w:rFonts w:hint="default" w:asciiTheme="minorEastAsia" w:hAnsiTheme="minorEastAsia" w:eastAsiaTheme="minorEastAsia"/>
          <w:color w:val="auto"/>
          <w:sz w:val="32"/>
          <w:szCs w:val="32"/>
          <w:lang w:val="en-US"/>
        </w:rPr>
        <w:t>0.01</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为维持</w:t>
      </w:r>
      <w:r>
        <w:rPr>
          <w:rFonts w:hint="eastAsia" w:asciiTheme="minorEastAsia" w:hAnsiTheme="minorEastAsia" w:eastAsiaTheme="minorEastAsia"/>
          <w:color w:val="auto"/>
          <w:sz w:val="32"/>
          <w:szCs w:val="32"/>
          <w:lang w:val="en-US" w:eastAsia="zh-CN"/>
        </w:rPr>
        <w:t>日常工作活动的合理开销。</w:t>
      </w:r>
    </w:p>
    <w:p>
      <w:pPr>
        <w:pStyle w:val="11"/>
        <w:rPr>
          <w:rFonts w:hAnsi="黑体"/>
          <w:b/>
          <w:color w:val="auto"/>
          <w:sz w:val="32"/>
          <w:szCs w:val="32"/>
        </w:rPr>
      </w:pPr>
      <w:r>
        <w:rPr>
          <w:rFonts w:hint="eastAsia" w:hAnsi="黑体"/>
          <w:b/>
          <w:color w:val="auto"/>
          <w:sz w:val="32"/>
          <w:szCs w:val="32"/>
        </w:rPr>
        <w:t>十、一般性支出情况说明</w:t>
      </w:r>
    </w:p>
    <w:p>
      <w:pPr>
        <w:pStyle w:val="11"/>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2021年本部门开支培训费</w:t>
      </w:r>
      <w:r>
        <w:rPr>
          <w:rFonts w:hint="eastAsia" w:asciiTheme="minorEastAsia" w:hAnsiTheme="minorEastAsia" w:eastAsiaTheme="minorEastAsia"/>
          <w:color w:val="auto"/>
          <w:sz w:val="32"/>
          <w:szCs w:val="32"/>
          <w:lang w:val="en-US" w:eastAsia="zh-CN"/>
        </w:rPr>
        <w:t>0.92</w:t>
      </w:r>
      <w:r>
        <w:rPr>
          <w:rFonts w:hint="eastAsia" w:asciiTheme="minorEastAsia" w:hAnsiTheme="minorEastAsia" w:eastAsiaTheme="minorEastAsia"/>
          <w:color w:val="auto"/>
          <w:sz w:val="32"/>
          <w:szCs w:val="32"/>
        </w:rPr>
        <w:t>万元，用于开展202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年度重要工业产品获证生产企业监督人员培训，人数</w:t>
      </w:r>
      <w:r>
        <w:rPr>
          <w:rFonts w:hint="eastAsia" w:asciiTheme="minorEastAsia" w:hAnsiTheme="minorEastAsia" w:eastAsiaTheme="minorEastAsia"/>
          <w:color w:val="auto"/>
          <w:sz w:val="32"/>
          <w:szCs w:val="32"/>
          <w:lang w:val="en-US" w:eastAsia="zh-CN"/>
        </w:rPr>
        <w:t>9</w:t>
      </w:r>
      <w:r>
        <w:rPr>
          <w:rFonts w:hint="eastAsia" w:asciiTheme="minorEastAsia" w:hAnsiTheme="minorEastAsia" w:eastAsiaTheme="minorEastAsia"/>
          <w:color w:val="auto"/>
          <w:sz w:val="32"/>
          <w:szCs w:val="32"/>
        </w:rPr>
        <w:t>人，内容为重要工业产品获证生产企业监督人员培训</w:t>
      </w:r>
      <w:r>
        <w:rPr>
          <w:rFonts w:hint="eastAsia" w:asciiTheme="minorEastAsia" w:hAnsiTheme="minorEastAsia" w:eastAsiaTheme="minorEastAsia"/>
          <w:color w:val="auto"/>
          <w:sz w:val="32"/>
          <w:szCs w:val="32"/>
          <w:lang w:eastAsia="zh-CN"/>
        </w:rPr>
        <w:t>。</w:t>
      </w:r>
    </w:p>
    <w:p>
      <w:pPr>
        <w:pStyle w:val="11"/>
        <w:rPr>
          <w:rFonts w:hAnsi="黑体"/>
          <w:b/>
          <w:color w:val="auto"/>
          <w:sz w:val="32"/>
          <w:szCs w:val="32"/>
        </w:rPr>
      </w:pPr>
      <w:r>
        <w:rPr>
          <w:rFonts w:hint="eastAsia" w:hAnsi="黑体"/>
          <w:b/>
          <w:color w:val="auto"/>
          <w:sz w:val="32"/>
          <w:szCs w:val="32"/>
        </w:rPr>
        <w:t>十一、政府采购支出说明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2021年度政府采购支出总额0</w:t>
      </w:r>
      <w:r>
        <w:rPr>
          <w:rFonts w:hint="eastAsia"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rPr>
        <w:t>万元，其中：政府采购货物支出0</w:t>
      </w:r>
      <w:r>
        <w:rPr>
          <w:rFonts w:hint="eastAsia"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rPr>
        <w:t>万元、政府采购工程支出0</w:t>
      </w:r>
      <w:r>
        <w:rPr>
          <w:rFonts w:hint="eastAsia"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rPr>
        <w:t>万元、政府采购服务支出0</w:t>
      </w:r>
      <w:r>
        <w:rPr>
          <w:rFonts w:hint="eastAsia"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rPr>
        <w:t>万元。授予中小企业合同金额0</w:t>
      </w:r>
      <w:r>
        <w:rPr>
          <w:rFonts w:hint="eastAsia"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金额为0元，无法计算百分比</w:t>
      </w:r>
      <w:r>
        <w:rPr>
          <w:rFonts w:hint="eastAsia" w:asciiTheme="minorEastAsia" w:hAnsiTheme="minorEastAsia" w:eastAsiaTheme="minorEastAsia"/>
          <w:color w:val="auto"/>
          <w:sz w:val="32"/>
          <w:szCs w:val="32"/>
        </w:rPr>
        <w:t>，其中：授予小微企业合同金额0</w:t>
      </w:r>
      <w:r>
        <w:rPr>
          <w:rFonts w:hint="eastAsia"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金额为0元，无法计算百分比</w:t>
      </w:r>
      <w:r>
        <w:rPr>
          <w:rFonts w:hint="eastAsia" w:asciiTheme="minorEastAsia" w:hAnsiTheme="minorEastAsia" w:eastAsiaTheme="minorEastAsia"/>
          <w:color w:val="auto"/>
          <w:sz w:val="32"/>
          <w:szCs w:val="32"/>
        </w:rPr>
        <w:t>；货物采购授予中小企业合同</w:t>
      </w:r>
      <w:r>
        <w:rPr>
          <w:rFonts w:hint="eastAsia" w:asciiTheme="minorEastAsia" w:hAnsiTheme="minorEastAsia" w:eastAsiaTheme="minorEastAsia"/>
          <w:color w:val="auto"/>
          <w:sz w:val="32"/>
          <w:szCs w:val="32"/>
          <w:lang w:val="en-US" w:eastAsia="zh-CN"/>
        </w:rPr>
        <w:t>金额为0元，无法计算百分比</w:t>
      </w:r>
      <w:r>
        <w:rPr>
          <w:rFonts w:hint="eastAsia" w:asciiTheme="minorEastAsia" w:hAnsiTheme="minorEastAsia" w:eastAsiaTheme="minorEastAsia"/>
          <w:color w:val="auto"/>
          <w:sz w:val="32"/>
          <w:szCs w:val="32"/>
        </w:rPr>
        <w:t>，工程采购授予中小企业合同金额</w:t>
      </w:r>
      <w:r>
        <w:rPr>
          <w:rFonts w:hint="eastAsia" w:asciiTheme="minorEastAsia" w:hAnsiTheme="minorEastAsia" w:eastAsiaTheme="minorEastAsia"/>
          <w:color w:val="auto"/>
          <w:sz w:val="32"/>
          <w:szCs w:val="32"/>
          <w:lang w:val="en-US" w:eastAsia="zh-CN"/>
        </w:rPr>
        <w:t>为0元，无法计算百分比</w:t>
      </w:r>
      <w:r>
        <w:rPr>
          <w:rFonts w:hint="eastAsia" w:asciiTheme="minorEastAsia" w:hAnsiTheme="minorEastAsia" w:eastAsiaTheme="minorEastAsia"/>
          <w:color w:val="auto"/>
          <w:sz w:val="32"/>
          <w:szCs w:val="32"/>
        </w:rPr>
        <w:t>，服务采购授予中小企业合同金额</w:t>
      </w:r>
      <w:r>
        <w:rPr>
          <w:rFonts w:hint="eastAsia" w:asciiTheme="minorEastAsia" w:hAnsiTheme="minorEastAsia" w:eastAsiaTheme="minorEastAsia"/>
          <w:color w:val="auto"/>
          <w:sz w:val="32"/>
          <w:szCs w:val="32"/>
          <w:lang w:val="en-US" w:eastAsia="zh-CN"/>
        </w:rPr>
        <w:t>为0元，无法计算百分比</w:t>
      </w:r>
      <w:r>
        <w:rPr>
          <w:rFonts w:hint="eastAsia" w:asciiTheme="minorEastAsia" w:hAnsiTheme="minorEastAsia" w:eastAsiaTheme="minorEastAsia"/>
          <w:color w:val="auto"/>
          <w:sz w:val="32"/>
          <w:szCs w:val="32"/>
        </w:rPr>
        <w:t>。</w:t>
      </w:r>
    </w:p>
    <w:p>
      <w:pPr>
        <w:pStyle w:val="11"/>
        <w:rPr>
          <w:rFonts w:hAnsi="黑体"/>
          <w:b/>
          <w:color w:val="auto"/>
          <w:sz w:val="32"/>
          <w:szCs w:val="32"/>
        </w:rPr>
      </w:pPr>
      <w:r>
        <w:rPr>
          <w:rFonts w:hint="eastAsia" w:hAnsi="黑体"/>
          <w:b/>
          <w:color w:val="auto"/>
          <w:sz w:val="32"/>
          <w:szCs w:val="32"/>
        </w:rPr>
        <w:t>十二、国有资产占用情况说明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截至2021年12月31日，部门（单位）共有车辆</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辆，其中，主要领导干部用车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辆，机要通信用车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辆、应急保障用车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辆、执法执勤用车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辆、特种专业技术用车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辆、其他用车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辆；单位价值50万元以上通用设备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台（套）；单位价值100万元以上专用设备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w:t>
      </w:r>
    </w:p>
    <w:p>
      <w:pPr>
        <w:pStyle w:val="11"/>
        <w:rPr>
          <w:rFonts w:hAnsi="黑体"/>
          <w:b/>
          <w:color w:val="auto"/>
          <w:sz w:val="32"/>
          <w:szCs w:val="32"/>
        </w:rPr>
      </w:pPr>
      <w:r>
        <w:rPr>
          <w:rFonts w:hint="eastAsia" w:hAnsi="黑体"/>
          <w:b/>
          <w:color w:val="auto"/>
          <w:sz w:val="32"/>
          <w:szCs w:val="32"/>
        </w:rPr>
        <w:t>十三、2021年度预算绩效情况说明</w:t>
      </w:r>
    </w:p>
    <w:p>
      <w:pPr>
        <w:pStyle w:val="11"/>
        <w:ind w:firstLine="640" w:firstLineChars="200"/>
        <w:rPr>
          <w:color w:val="auto"/>
          <w:sz w:val="72"/>
          <w:szCs w:val="72"/>
        </w:rPr>
      </w:pPr>
      <w:r>
        <w:rPr>
          <w:rFonts w:hint="eastAsia" w:asciiTheme="minorEastAsia" w:hAnsiTheme="minorEastAsia" w:eastAsiaTheme="minorEastAsia"/>
          <w:color w:val="auto"/>
          <w:sz w:val="32"/>
          <w:szCs w:val="32"/>
        </w:rPr>
        <w:t>详见附件《2021年度湖南省食品和工业产品生产许可审查中心单位整体支出绩效自评报告》。</w:t>
      </w:r>
    </w:p>
    <w:p>
      <w:pPr>
        <w:pStyle w:val="11"/>
        <w:jc w:val="center"/>
        <w:rPr>
          <w:color w:val="auto"/>
          <w:sz w:val="72"/>
          <w:szCs w:val="72"/>
        </w:rPr>
      </w:pPr>
    </w:p>
    <w:p>
      <w:pPr>
        <w:pStyle w:val="11"/>
        <w:jc w:val="both"/>
        <w:rPr>
          <w:rFonts w:hint="eastAsia"/>
          <w:color w:val="auto"/>
          <w:sz w:val="72"/>
          <w:szCs w:val="72"/>
        </w:rPr>
      </w:pPr>
    </w:p>
    <w:p>
      <w:pPr>
        <w:pStyle w:val="11"/>
        <w:jc w:val="center"/>
        <w:rPr>
          <w:rFonts w:hint="eastAsia"/>
          <w:color w:val="auto"/>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keepNext w:val="0"/>
        <w:keepLines w:val="0"/>
        <w:pageBreakBefore w:val="0"/>
        <w:widowControl w:val="0"/>
        <w:kinsoku/>
        <w:wordWrap/>
        <w:overflowPunct/>
        <w:topLinePunct w:val="0"/>
        <w:autoSpaceDE/>
        <w:autoSpaceDN/>
        <w:bidi w:val="0"/>
        <w:adjustRightInd/>
        <w:snapToGrid/>
        <w:ind w:left="735" w:leftChars="350"/>
        <w:textAlignment w:val="auto"/>
        <w:rPr>
          <w:rFonts w:asciiTheme="minorEastAsia" w:hAnsiTheme="minorEastAsia"/>
          <w:sz w:val="28"/>
          <w:szCs w:val="28"/>
        </w:rPr>
      </w:pPr>
      <w:r>
        <w:rPr>
          <w:rFonts w:hint="eastAsia" w:asciiTheme="minorEastAsia" w:hAnsiTheme="minorEastAsia"/>
          <w:sz w:val="28"/>
          <w:szCs w:val="28"/>
        </w:rPr>
        <w:t>一、财政拨款收入：指中央财政当年拨付的资金。</w:t>
      </w:r>
    </w:p>
    <w:p>
      <w:pPr>
        <w:ind w:firstLine="700" w:firstLineChars="250"/>
        <w:rPr>
          <w:rFonts w:asciiTheme="minorEastAsia" w:hAnsiTheme="minorEastAsia"/>
          <w:sz w:val="28"/>
          <w:szCs w:val="28"/>
        </w:rPr>
      </w:pPr>
      <w:r>
        <w:rPr>
          <w:rFonts w:hint="eastAsia" w:asciiTheme="minorEastAsia" w:hAnsiTheme="minorEastAsia"/>
          <w:sz w:val="28"/>
          <w:szCs w:val="28"/>
        </w:rPr>
        <w:t>二、其他收入：指除“财政拨款收入”、“事业收入”、“经营收入”等以外的收入。主要是按规定动用的售房收入、存款利息收入等。</w:t>
      </w:r>
    </w:p>
    <w:p>
      <w:pPr>
        <w:ind w:firstLine="700" w:firstLineChars="250"/>
        <w:rPr>
          <w:rFonts w:asciiTheme="minorEastAsia" w:hAnsiTheme="minorEastAsia"/>
          <w:sz w:val="28"/>
          <w:szCs w:val="28"/>
        </w:rPr>
      </w:pPr>
      <w:r>
        <w:rPr>
          <w:rFonts w:hint="eastAsia" w:asciiTheme="minorEastAsia" w:hAnsiTheme="minorEastAsia"/>
          <w:sz w:val="28"/>
          <w:szCs w:val="28"/>
        </w:rPr>
        <w:t>三、基本支出：指为保障机构正常运转、完成日常工作任务而发生的人员支出和公用支出。</w:t>
      </w:r>
    </w:p>
    <w:p>
      <w:pPr>
        <w:ind w:firstLine="700" w:firstLineChars="250"/>
        <w:rPr>
          <w:rFonts w:asciiTheme="minorEastAsia" w:hAnsiTheme="minorEastAsia"/>
          <w:sz w:val="28"/>
          <w:szCs w:val="28"/>
        </w:rPr>
      </w:pPr>
      <w:r>
        <w:rPr>
          <w:rFonts w:hint="eastAsia" w:asciiTheme="minorEastAsia" w:hAnsiTheme="minorEastAsia"/>
          <w:sz w:val="28"/>
          <w:szCs w:val="28"/>
        </w:rPr>
        <w:t>四、项目支出：指在基本支出之外为完成特定行政任务和事业发展目标所发生的支出。</w:t>
      </w:r>
    </w:p>
    <w:p>
      <w:pPr>
        <w:ind w:firstLine="700" w:firstLineChars="250"/>
        <w:rPr>
          <w:rFonts w:asciiTheme="minorEastAsia" w:hAnsiTheme="minorEastAsia"/>
          <w:sz w:val="28"/>
          <w:szCs w:val="28"/>
        </w:rPr>
      </w:pPr>
      <w:r>
        <w:rPr>
          <w:rFonts w:hint="eastAsia" w:asciiTheme="minorEastAsia" w:hAnsiTheme="minorEastAsia"/>
          <w:sz w:val="28"/>
          <w:szCs w:val="28"/>
        </w:rPr>
        <w:t>五、“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桥过路费、保险费、安全奖励费用等支出；公务接待费反映单位按规定开支的各类公务接待（含外宾接待）支出。</w:t>
      </w:r>
    </w:p>
    <w:p>
      <w:pPr>
        <w:ind w:firstLine="700" w:firstLineChars="250"/>
        <w:rPr>
          <w:sz w:val="72"/>
          <w:szCs w:val="72"/>
        </w:rPr>
      </w:pPr>
      <w:r>
        <w:rPr>
          <w:rFonts w:hint="eastAsia" w:asciiTheme="minorEastAsia" w:hAnsiTheme="minorEastAsia"/>
          <w:sz w:val="28"/>
          <w:szCs w:val="28"/>
        </w:rPr>
        <w:t>六、机关运行经费：为保障行政单位（含参照公务员法管理的事业单位）运行用于购买货物和服务的各项资金，包括办公费、印刷费、邮电费、差旅费、会议费、福利费、日常维修费、专用材料费、一般设备购置费、水电费、取暖费、公务用车运行维护费以及其他费用。</w:t>
      </w: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spacing w:line="600" w:lineRule="exact"/>
        <w:outlineLvl w:val="0"/>
        <w:rPr>
          <w:rFonts w:eastAsia="方正黑体_GBK"/>
          <w:kern w:val="0"/>
          <w:sz w:val="32"/>
          <w:szCs w:val="32"/>
        </w:rPr>
      </w:pPr>
    </w:p>
    <w:p>
      <w:pPr>
        <w:spacing w:line="600" w:lineRule="exact"/>
        <w:outlineLvl w:val="0"/>
        <w:rPr>
          <w:rFonts w:eastAsia="方正黑体_GBK"/>
          <w:kern w:val="0"/>
          <w:sz w:val="32"/>
          <w:szCs w:val="32"/>
        </w:rPr>
      </w:pPr>
    </w:p>
    <w:p>
      <w:pPr>
        <w:spacing w:line="600" w:lineRule="exact"/>
        <w:outlineLvl w:val="0"/>
        <w:rPr>
          <w:rFonts w:eastAsia="方正黑体_GBK"/>
          <w:kern w:val="0"/>
          <w:sz w:val="32"/>
          <w:szCs w:val="32"/>
        </w:rPr>
      </w:pPr>
    </w:p>
    <w:p>
      <w:pPr>
        <w:spacing w:line="600" w:lineRule="exact"/>
        <w:outlineLvl w:val="0"/>
        <w:rPr>
          <w:rFonts w:eastAsia="方正黑体_GBK"/>
          <w:kern w:val="0"/>
          <w:sz w:val="32"/>
          <w:szCs w:val="32"/>
        </w:rPr>
      </w:pPr>
    </w:p>
    <w:p>
      <w:pPr>
        <w:spacing w:line="600" w:lineRule="exact"/>
        <w:outlineLvl w:val="0"/>
        <w:rPr>
          <w:rFonts w:eastAsia="方正黑体_GBK"/>
          <w:kern w:val="0"/>
          <w:sz w:val="32"/>
          <w:szCs w:val="32"/>
        </w:rPr>
      </w:pPr>
      <w:r>
        <w:rPr>
          <w:rFonts w:eastAsia="方正黑体_GBK"/>
          <w:kern w:val="0"/>
          <w:sz w:val="32"/>
          <w:szCs w:val="32"/>
        </w:rPr>
        <w:t>附件1</w:t>
      </w:r>
    </w:p>
    <w:p>
      <w:pPr>
        <w:spacing w:line="600" w:lineRule="exact"/>
        <w:rPr>
          <w:rFonts w:eastAsia="黑体"/>
          <w:kern w:val="0"/>
          <w:sz w:val="32"/>
          <w:szCs w:val="32"/>
        </w:rPr>
      </w:pPr>
    </w:p>
    <w:p>
      <w:pPr>
        <w:spacing w:line="600" w:lineRule="exact"/>
        <w:rPr>
          <w:rFonts w:eastAsia="黑体"/>
          <w:kern w:val="0"/>
          <w:sz w:val="32"/>
          <w:szCs w:val="32"/>
        </w:rPr>
      </w:pPr>
    </w:p>
    <w:p>
      <w:pPr>
        <w:jc w:val="center"/>
        <w:rPr>
          <w:rFonts w:hint="eastAsia" w:ascii="方正小标宋_GBK" w:eastAsia="方正小标宋_GBK"/>
          <w:sz w:val="52"/>
          <w:szCs w:val="52"/>
        </w:rPr>
      </w:pPr>
      <w:r>
        <w:rPr>
          <w:rFonts w:hint="eastAsia" w:ascii="方正小标宋_GBK" w:eastAsia="方正小标宋_GBK"/>
          <w:sz w:val="52"/>
          <w:szCs w:val="52"/>
          <w:lang w:val="en-US" w:eastAsia="zh-CN"/>
        </w:rPr>
        <w:t>2021</w:t>
      </w:r>
      <w:r>
        <w:rPr>
          <w:rFonts w:hint="eastAsia" w:ascii="方正小标宋_GBK" w:eastAsia="方正小标宋_GBK"/>
          <w:sz w:val="52"/>
          <w:szCs w:val="52"/>
        </w:rPr>
        <w:t>年度</w:t>
      </w:r>
    </w:p>
    <w:p>
      <w:pPr>
        <w:jc w:val="center"/>
        <w:rPr>
          <w:rFonts w:ascii="方正小标宋_GBK" w:eastAsia="方正小标宋_GBK"/>
          <w:sz w:val="52"/>
          <w:szCs w:val="52"/>
        </w:rPr>
      </w:pPr>
      <w:r>
        <w:rPr>
          <w:rFonts w:hint="eastAsia" w:ascii="方正小标宋_GBK" w:eastAsia="方正小标宋_GBK"/>
          <w:sz w:val="52"/>
          <w:szCs w:val="52"/>
          <w:lang w:val="en-US" w:eastAsia="zh-CN"/>
        </w:rPr>
        <w:t>湖南省食品和工业产品生产许可审查中心</w:t>
      </w:r>
      <w:r>
        <w:rPr>
          <w:rFonts w:hint="eastAsia" w:ascii="方正小标宋_GBK" w:eastAsia="方正小标宋_GBK"/>
          <w:sz w:val="52"/>
          <w:szCs w:val="52"/>
        </w:rPr>
        <w:t>整体支出绩效自评报告</w:t>
      </w:r>
    </w:p>
    <w:p>
      <w:pPr>
        <w:jc w:val="center"/>
        <w:rPr>
          <w:rFonts w:ascii="方正小标宋_GBK" w:eastAsia="方正小标宋_GBK"/>
          <w:b/>
          <w:sz w:val="52"/>
          <w:szCs w:val="5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640" w:firstLineChars="200"/>
        <w:jc w:val="center"/>
        <w:rPr>
          <w:rFonts w:hint="default" w:ascii="方正仿宋_GBK" w:eastAsia="方正仿宋_GBK"/>
          <w:sz w:val="32"/>
          <w:szCs w:val="32"/>
          <w:u w:val="single"/>
          <w:lang w:val="en-US" w:eastAsia="zh-CN"/>
        </w:rPr>
      </w:pPr>
      <w:r>
        <w:rPr>
          <w:rFonts w:hint="eastAsia" w:ascii="方正仿宋_GBK" w:eastAsia="方正仿宋_GBK"/>
          <w:sz w:val="32"/>
          <w:szCs w:val="32"/>
        </w:rPr>
        <w:t>单位名称：</w:t>
      </w:r>
      <w:r>
        <w:rPr>
          <w:rFonts w:hint="eastAsia" w:ascii="方正仿宋_GBK" w:eastAsia="方正仿宋_GBK"/>
          <w:sz w:val="32"/>
          <w:szCs w:val="32"/>
          <w:u w:val="single"/>
          <w:lang w:val="en-US" w:eastAsia="zh-CN"/>
        </w:rPr>
        <w:t>湖南省食品和工业产品生产许可审查中心</w:t>
      </w:r>
    </w:p>
    <w:p>
      <w:pPr>
        <w:spacing w:line="600" w:lineRule="exact"/>
        <w:ind w:firstLine="640" w:firstLineChars="200"/>
        <w:jc w:val="center"/>
        <w:rPr>
          <w:rFonts w:hint="eastAsia" w:ascii="方正仿宋_GBK" w:eastAsia="方正仿宋_GBK"/>
          <w:sz w:val="32"/>
          <w:szCs w:val="32"/>
        </w:rPr>
      </w:pPr>
      <w:r>
        <w:rPr>
          <w:rFonts w:hint="eastAsia" w:ascii="方正仿宋_GBK" w:eastAsia="方正仿宋_GBK"/>
          <w:sz w:val="32"/>
          <w:szCs w:val="32"/>
          <w:lang w:val="en-US" w:eastAsia="zh-CN"/>
        </w:rPr>
        <w:t>2022</w:t>
      </w:r>
      <w:r>
        <w:rPr>
          <w:rFonts w:hint="eastAsia" w:ascii="方正仿宋_GBK" w:eastAsia="方正仿宋_GBK"/>
          <w:sz w:val="32"/>
          <w:szCs w:val="32"/>
        </w:rPr>
        <w:t xml:space="preserve">年 </w:t>
      </w:r>
      <w:r>
        <w:rPr>
          <w:rFonts w:hint="eastAsia" w:ascii="方正仿宋_GBK" w:eastAsia="方正仿宋_GBK"/>
          <w:sz w:val="32"/>
          <w:szCs w:val="32"/>
          <w:lang w:val="en-US" w:eastAsia="zh-CN"/>
        </w:rPr>
        <w:t>4</w:t>
      </w:r>
      <w:r>
        <w:rPr>
          <w:rFonts w:hint="eastAsia" w:ascii="方正仿宋_GBK" w:eastAsia="方正仿宋_GBK"/>
          <w:sz w:val="32"/>
          <w:szCs w:val="32"/>
        </w:rPr>
        <w:t>月</w:t>
      </w:r>
      <w:r>
        <w:rPr>
          <w:rFonts w:hint="eastAsia" w:ascii="方正仿宋_GBK" w:eastAsia="方正仿宋_GBK"/>
          <w:sz w:val="32"/>
          <w:szCs w:val="32"/>
          <w:lang w:val="en-US" w:eastAsia="zh-CN"/>
        </w:rPr>
        <w:t>28</w:t>
      </w:r>
      <w:r>
        <w:rPr>
          <w:rFonts w:hint="eastAsia" w:ascii="方正仿宋_GBK" w:eastAsia="方正仿宋_GBK"/>
          <w:sz w:val="32"/>
          <w:szCs w:val="32"/>
        </w:rPr>
        <w:t>日</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2"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rPr>
        <w:t>单位基本情况</w:t>
      </w:r>
      <w:r>
        <w:rPr>
          <w:rFonts w:hint="eastAsia" w:ascii="黑体" w:hAnsi="黑体" w:eastAsia="黑体" w:cs="黑体"/>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湖南省食品和工业产品生产许可审查中心是隶属于湖南省市场监督管理局的正处级全额拨款（公益一类）事业单位。中心主要负责组织开展全省食品相关产品和工业产品生产许可审查；受省局委托承担全省食品相关产品监督检查及职责内行政许可的监督检查工作；组织实施全省检验检测机构资质认定、权限内计量标准器具核准、承担国家法定计量检定机构任务的授权、计量器具新产品型式批准等行政许可的审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rPr>
        <w:t>二、一般公共预算支出情况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（一）基本支出情况</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年度基本支出</w:t>
      </w:r>
      <w:r>
        <w:rPr>
          <w:rFonts w:hint="eastAsia" w:asciiTheme="minorEastAsia" w:hAnsiTheme="minorEastAsia" w:eastAsiaTheme="minorEastAsia" w:cstheme="minorEastAsia"/>
          <w:sz w:val="28"/>
          <w:szCs w:val="28"/>
          <w:lang w:val="en-US" w:eastAsia="zh-CN"/>
        </w:rPr>
        <w:t>228.36</w:t>
      </w:r>
      <w:r>
        <w:rPr>
          <w:rFonts w:hint="eastAsia" w:asciiTheme="minorEastAsia" w:hAnsiTheme="minorEastAsia" w:eastAsiaTheme="minorEastAsia" w:cstheme="minorEastAsia"/>
          <w:sz w:val="28"/>
          <w:szCs w:val="28"/>
        </w:rPr>
        <w:t>万元，主要用于维持中心基本运转。其中基本工资、津贴补贴、社会保障缴费、住房公积金、退休</w:t>
      </w:r>
      <w:r>
        <w:rPr>
          <w:rFonts w:hint="eastAsia" w:asciiTheme="minorEastAsia" w:hAnsiTheme="minorEastAsia" w:eastAsiaTheme="minorEastAsia" w:cstheme="minorEastAsia"/>
          <w:sz w:val="28"/>
          <w:szCs w:val="28"/>
          <w:lang w:val="en-US" w:eastAsia="zh-CN"/>
        </w:rPr>
        <w:t>费</w:t>
      </w:r>
      <w:r>
        <w:rPr>
          <w:rFonts w:hint="eastAsia" w:asciiTheme="minorEastAsia" w:hAnsiTheme="minorEastAsia" w:eastAsiaTheme="minorEastAsia" w:cstheme="minorEastAsia"/>
          <w:sz w:val="28"/>
          <w:szCs w:val="28"/>
        </w:rPr>
        <w:t>等人员经费</w:t>
      </w:r>
      <w:r>
        <w:rPr>
          <w:rFonts w:hint="eastAsia" w:asciiTheme="minorEastAsia" w:hAnsiTheme="minorEastAsia" w:eastAsiaTheme="minorEastAsia" w:cstheme="minorEastAsia"/>
          <w:sz w:val="28"/>
          <w:szCs w:val="28"/>
          <w:lang w:val="en-US" w:eastAsia="zh-CN"/>
        </w:rPr>
        <w:t>198.26</w:t>
      </w:r>
      <w:r>
        <w:rPr>
          <w:rFonts w:hint="eastAsia" w:asciiTheme="minorEastAsia" w:hAnsiTheme="minorEastAsia" w:eastAsiaTheme="minorEastAsia" w:cstheme="minorEastAsia"/>
          <w:sz w:val="28"/>
          <w:szCs w:val="28"/>
        </w:rPr>
        <w:t>万元，办公费、印刷费、维修（护）费、</w:t>
      </w:r>
      <w:r>
        <w:rPr>
          <w:rFonts w:hint="eastAsia" w:asciiTheme="minorEastAsia" w:hAnsiTheme="minorEastAsia" w:eastAsiaTheme="minorEastAsia" w:cstheme="minorEastAsia"/>
          <w:sz w:val="28"/>
          <w:szCs w:val="28"/>
          <w:lang w:val="en-US" w:eastAsia="zh-CN"/>
        </w:rPr>
        <w:t>公务接待费、其他交通费、</w:t>
      </w:r>
      <w:r>
        <w:rPr>
          <w:rFonts w:hint="eastAsia" w:asciiTheme="minorEastAsia" w:hAnsiTheme="minorEastAsia" w:eastAsiaTheme="minorEastAsia" w:cstheme="minorEastAsia"/>
          <w:sz w:val="28"/>
          <w:szCs w:val="28"/>
        </w:rPr>
        <w:t>差旅费、</w:t>
      </w:r>
      <w:r>
        <w:rPr>
          <w:rFonts w:hint="eastAsia" w:asciiTheme="minorEastAsia" w:hAnsiTheme="minorEastAsia" w:eastAsiaTheme="minorEastAsia" w:cstheme="minorEastAsia"/>
          <w:sz w:val="28"/>
          <w:szCs w:val="28"/>
          <w:lang w:val="en-US" w:eastAsia="zh-CN"/>
        </w:rPr>
        <w:t>福利</w:t>
      </w:r>
      <w:r>
        <w:rPr>
          <w:rFonts w:hint="eastAsia" w:asciiTheme="minorEastAsia" w:hAnsiTheme="minorEastAsia" w:eastAsiaTheme="minorEastAsia" w:cstheme="minorEastAsia"/>
          <w:sz w:val="28"/>
          <w:szCs w:val="28"/>
        </w:rPr>
        <w:t>费、</w:t>
      </w:r>
      <w:r>
        <w:rPr>
          <w:rFonts w:hint="eastAsia" w:asciiTheme="minorEastAsia" w:hAnsiTheme="minorEastAsia" w:eastAsiaTheme="minorEastAsia" w:cstheme="minorEastAsia"/>
          <w:sz w:val="28"/>
          <w:szCs w:val="28"/>
          <w:lang w:val="en-US" w:eastAsia="zh-CN"/>
        </w:rPr>
        <w:t>税金及附加费用</w:t>
      </w:r>
      <w:r>
        <w:rPr>
          <w:rFonts w:hint="eastAsia" w:asciiTheme="minorEastAsia" w:hAnsiTheme="minorEastAsia" w:eastAsiaTheme="minorEastAsia" w:cstheme="minorEastAsia"/>
          <w:sz w:val="28"/>
          <w:szCs w:val="28"/>
        </w:rPr>
        <w:t>、其他商品服务支出等日常公用经费支出</w:t>
      </w:r>
      <w:r>
        <w:rPr>
          <w:rFonts w:hint="eastAsia" w:asciiTheme="minorEastAsia" w:hAnsiTheme="minorEastAsia" w:eastAsiaTheme="minorEastAsia" w:cstheme="minorEastAsia"/>
          <w:sz w:val="28"/>
          <w:szCs w:val="28"/>
          <w:lang w:val="en-US" w:eastAsia="zh-CN"/>
        </w:rPr>
        <w:t>30.1</w:t>
      </w:r>
      <w:r>
        <w:rPr>
          <w:rFonts w:hint="eastAsia" w:asciiTheme="minorEastAsia" w:hAnsiTheme="minorEastAsia" w:eastAsiaTheme="minorEastAsia" w:cstheme="minorEastAsia"/>
          <w:sz w:val="28"/>
          <w:szCs w:val="28"/>
        </w:rPr>
        <w:t>万元。全年使用率</w:t>
      </w:r>
      <w:r>
        <w:rPr>
          <w:rFonts w:hint="eastAsia" w:asciiTheme="minorEastAsia" w:hAnsiTheme="minorEastAsia" w:eastAsiaTheme="minorEastAsia" w:cstheme="minorEastAsia"/>
          <w:sz w:val="28"/>
          <w:szCs w:val="28"/>
          <w:lang w:val="en-US" w:eastAsia="zh-CN"/>
        </w:rPr>
        <w:t>93.64</w:t>
      </w:r>
      <w:r>
        <w:rPr>
          <w:rFonts w:hint="eastAsia" w:asciiTheme="minorEastAsia" w:hAnsiTheme="minorEastAsia" w:eastAsiaTheme="minorEastAsia" w:cs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（二）项目支出情况</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一是202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年度省级专项资金分配安排和使用管理情况。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1、重要工业产品专项经费202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年合计支出资金</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0万元，资金使用率为100%，用于食品相关产品例行监督检查和工业产品实地核查及后置、重要工业产品“双随机、一公开”证后监督检查审查，差旅费</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万元、劳务费</w:t>
      </w: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万元、其他交通费</w:t>
      </w: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认可检测业务专项</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年合计支出资金</w:t>
      </w:r>
      <w:r>
        <w:rPr>
          <w:rFonts w:hint="eastAsia" w:asciiTheme="minorEastAsia" w:hAnsiTheme="minorEastAsia" w:eastAsiaTheme="minorEastAsia" w:cstheme="minorEastAsia"/>
          <w:sz w:val="28"/>
          <w:szCs w:val="28"/>
          <w:lang w:val="en-US" w:eastAsia="zh-CN"/>
        </w:rPr>
        <w:t>66.6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印刷费0.2万元、</w:t>
      </w:r>
      <w:r>
        <w:rPr>
          <w:rFonts w:hint="eastAsia" w:asciiTheme="minorEastAsia" w:hAnsiTheme="minorEastAsia" w:eastAsiaTheme="minorEastAsia" w:cstheme="minorEastAsia"/>
          <w:sz w:val="28"/>
          <w:szCs w:val="28"/>
        </w:rPr>
        <w:t>差旅费</w:t>
      </w:r>
      <w:r>
        <w:rPr>
          <w:rFonts w:hint="eastAsia" w:asciiTheme="minorEastAsia" w:hAnsiTheme="minorEastAsia" w:eastAsiaTheme="minorEastAsia" w:cstheme="minorEastAsia"/>
          <w:sz w:val="28"/>
          <w:szCs w:val="28"/>
          <w:lang w:val="en-US" w:eastAsia="zh-CN"/>
        </w:rPr>
        <w:t>10.71</w:t>
      </w:r>
      <w:r>
        <w:rPr>
          <w:rFonts w:hint="eastAsia" w:asciiTheme="minorEastAsia" w:hAnsiTheme="minorEastAsia" w:eastAsiaTheme="minorEastAsia" w:cstheme="minorEastAsia"/>
          <w:sz w:val="28"/>
          <w:szCs w:val="28"/>
        </w:rPr>
        <w:t>万元，劳务费</w:t>
      </w:r>
      <w:r>
        <w:rPr>
          <w:rFonts w:hint="eastAsia" w:asciiTheme="minorEastAsia" w:hAnsiTheme="minorEastAsia" w:eastAsiaTheme="minorEastAsia" w:cstheme="minorEastAsia"/>
          <w:sz w:val="28"/>
          <w:szCs w:val="28"/>
          <w:lang w:val="en-US" w:eastAsia="zh-CN"/>
        </w:rPr>
        <w:t>44.5</w:t>
      </w:r>
      <w:r>
        <w:rPr>
          <w:rFonts w:hint="eastAsia" w:asciiTheme="minorEastAsia" w:hAnsiTheme="minorEastAsia" w:eastAsiaTheme="minorEastAsia" w:cstheme="minorEastAsia"/>
          <w:sz w:val="28"/>
          <w:szCs w:val="28"/>
        </w:rPr>
        <w:t>万元，其他交通费</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.18万元），资金使用率为</w:t>
      </w:r>
      <w:r>
        <w:rPr>
          <w:rFonts w:hint="eastAsia" w:asciiTheme="minorEastAsia" w:hAnsiTheme="minorEastAsia" w:eastAsiaTheme="minorEastAsia" w:cstheme="minorEastAsia"/>
          <w:sz w:val="28"/>
          <w:szCs w:val="28"/>
          <w:lang w:val="en-US" w:eastAsia="zh-CN"/>
        </w:rPr>
        <w:t>95.14</w:t>
      </w:r>
      <w:r>
        <w:rPr>
          <w:rFonts w:hint="eastAsia" w:asciiTheme="minorEastAsia" w:hAnsiTheme="minorEastAsia" w:eastAsiaTheme="minorEastAsia" w:cs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3、计量行政许可评审专项经费2021年合计支出3.85万元，其中劳务费支出3.85万元，资金使用率为77%。</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市场监督管理专项经费支出合计29.96万元，主要用于重要工业产品及食品相关产品例行监督检查、实地核查及后置审查，其中包括：差旅费8.53万元、劳务费9.12万元、委托业务费1.32万元、其他交通费10.99万元，资金使用率为99.87%。</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二是除省级专项资金以外的其他项目支出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年度</w:t>
      </w:r>
      <w:r>
        <w:rPr>
          <w:rFonts w:hint="eastAsia" w:asciiTheme="minorEastAsia" w:hAnsiTheme="minorEastAsia" w:eastAsiaTheme="minorEastAsia" w:cstheme="minorEastAsia"/>
          <w:sz w:val="28"/>
          <w:szCs w:val="28"/>
          <w:lang w:val="en-US" w:eastAsia="zh-CN"/>
        </w:rPr>
        <w:t>其他运转类</w:t>
      </w:r>
      <w:r>
        <w:rPr>
          <w:rFonts w:hint="eastAsia" w:asciiTheme="minorEastAsia" w:hAnsiTheme="minorEastAsia" w:eastAsiaTheme="minorEastAsia" w:cstheme="minorEastAsia"/>
          <w:sz w:val="28"/>
          <w:szCs w:val="28"/>
        </w:rPr>
        <w:t>办公室设备购置</w:t>
      </w:r>
      <w:r>
        <w:rPr>
          <w:rFonts w:hint="eastAsia" w:asciiTheme="minorEastAsia" w:hAnsiTheme="minorEastAsia" w:eastAsiaTheme="minorEastAsia" w:cstheme="minorEastAsia"/>
          <w:sz w:val="28"/>
          <w:szCs w:val="28"/>
          <w:lang w:val="en-US" w:eastAsia="zh-CN"/>
        </w:rPr>
        <w:t>支出合计4</w:t>
      </w:r>
      <w:r>
        <w:rPr>
          <w:rFonts w:hint="eastAsia" w:asciiTheme="minorEastAsia" w:hAnsiTheme="minorEastAsia" w:eastAsiaTheme="minorEastAsia" w:cstheme="minorEastAsia"/>
          <w:sz w:val="28"/>
          <w:szCs w:val="28"/>
        </w:rPr>
        <w:t>万元，资金使用率为100%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业务工作经费为财政资金年初预算安排因公出国（境）费用5万元，全年支出0万元，资金使用率为0%</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我中心</w:t>
      </w:r>
      <w:r>
        <w:rPr>
          <w:rFonts w:hint="eastAsia" w:asciiTheme="minorEastAsia" w:hAnsiTheme="minorEastAsia" w:eastAsiaTheme="minorEastAsia" w:cstheme="minorEastAsia"/>
          <w:sz w:val="28"/>
          <w:szCs w:val="28"/>
        </w:rPr>
        <w:t>依法</w:t>
      </w:r>
      <w:r>
        <w:rPr>
          <w:rFonts w:hint="eastAsia" w:asciiTheme="minorEastAsia" w:hAnsiTheme="minorEastAsia" w:eastAsiaTheme="minorEastAsia" w:cstheme="minorEastAsia"/>
          <w:sz w:val="28"/>
          <w:szCs w:val="28"/>
          <w:lang w:val="en-US" w:eastAsia="zh-CN"/>
        </w:rPr>
        <w:t>依规</w:t>
      </w:r>
      <w:r>
        <w:rPr>
          <w:rFonts w:hint="eastAsia" w:asciiTheme="minorEastAsia" w:hAnsiTheme="minorEastAsia" w:eastAsiaTheme="minorEastAsia" w:cstheme="minorEastAsia"/>
          <w:sz w:val="28"/>
          <w:szCs w:val="28"/>
        </w:rPr>
        <w:t>开展相关的技术工作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严格遵守程序，按时完成</w:t>
      </w:r>
      <w:r>
        <w:rPr>
          <w:rFonts w:hint="eastAsia" w:asciiTheme="minorEastAsia" w:hAnsiTheme="minorEastAsia" w:eastAsiaTheme="minorEastAsia" w:cstheme="minorEastAsia"/>
          <w:sz w:val="28"/>
          <w:szCs w:val="28"/>
          <w:lang w:val="en-US" w:eastAsia="zh-CN"/>
        </w:rPr>
        <w:t>各项任务</w:t>
      </w:r>
      <w:r>
        <w:rPr>
          <w:rFonts w:hint="eastAsia" w:asciiTheme="minorEastAsia" w:hAnsiTheme="minorEastAsia" w:eastAsiaTheme="minorEastAsia" w:cs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（一）按照省局</w:t>
      </w:r>
      <w:r>
        <w:rPr>
          <w:rFonts w:hint="eastAsia" w:asciiTheme="minorEastAsia" w:hAnsiTheme="minorEastAsia" w:eastAsiaTheme="minorEastAsia" w:cstheme="minorEastAsia"/>
          <w:sz w:val="28"/>
          <w:szCs w:val="28"/>
          <w:lang w:eastAsia="zh-CN"/>
        </w:rPr>
        <w:t>“双随机</w:t>
      </w:r>
      <w:r>
        <w:rPr>
          <w:rFonts w:hint="eastAsia" w:asciiTheme="minorEastAsia" w:hAnsiTheme="minorEastAsia" w:cstheme="minorEastAsia"/>
          <w:sz w:val="28"/>
          <w:szCs w:val="28"/>
          <w:lang w:eastAsia="zh-CN"/>
        </w:rPr>
        <w:t>、</w:t>
      </w:r>
      <w:bookmarkStart w:id="3" w:name="_GoBack"/>
      <w:bookmarkEnd w:id="3"/>
      <w:r>
        <w:rPr>
          <w:rFonts w:hint="eastAsia" w:asciiTheme="minorEastAsia" w:hAnsiTheme="minorEastAsia" w:eastAsiaTheme="minorEastAsia" w:cstheme="minorEastAsia"/>
          <w:sz w:val="28"/>
          <w:szCs w:val="28"/>
          <w:lang w:eastAsia="zh-CN"/>
        </w:rPr>
        <w:t>一公开”</w:t>
      </w:r>
      <w:r>
        <w:rPr>
          <w:rFonts w:hint="eastAsia" w:asciiTheme="minorEastAsia" w:hAnsiTheme="minorEastAsia" w:eastAsiaTheme="minorEastAsia" w:cstheme="minorEastAsia"/>
          <w:sz w:val="28"/>
          <w:szCs w:val="28"/>
          <w:lang w:val="en-US" w:eastAsia="zh-CN"/>
        </w:rPr>
        <w:t>要求，</w:t>
      </w:r>
      <w:r>
        <w:rPr>
          <w:rFonts w:hint="eastAsia" w:asciiTheme="minorEastAsia" w:hAnsiTheme="minorEastAsia" w:eastAsiaTheme="minorEastAsia" w:cstheme="minorEastAsia"/>
          <w:sz w:val="28"/>
          <w:szCs w:val="28"/>
        </w:rPr>
        <w:t>共对</w:t>
      </w:r>
      <w:r>
        <w:rPr>
          <w:rFonts w:hint="eastAsia" w:asciiTheme="minorEastAsia" w:hAnsiTheme="minorEastAsia" w:eastAsiaTheme="minorEastAsia" w:cstheme="minorEastAsia"/>
          <w:sz w:val="28"/>
          <w:szCs w:val="28"/>
          <w:lang w:val="en-US" w:eastAsia="zh-CN"/>
        </w:rPr>
        <w:t>140</w:t>
      </w:r>
      <w:r>
        <w:rPr>
          <w:rFonts w:hint="eastAsia" w:asciiTheme="minorEastAsia" w:hAnsiTheme="minorEastAsia" w:eastAsiaTheme="minorEastAsia" w:cstheme="minorEastAsia"/>
          <w:sz w:val="28"/>
          <w:szCs w:val="28"/>
        </w:rPr>
        <w:t>家认证企业进行了认证活动（事中）监督检查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对检查中发现的问题进行逐项分析，对存在一般问题的机构，提出了自行整改要求</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对问题比较严重的认证机构提出了调阅认证企业档案进一步落实的建议</w:t>
      </w:r>
      <w:r>
        <w:rPr>
          <w:rFonts w:hint="eastAsia" w:asciiTheme="minorEastAsia" w:hAnsiTheme="minorEastAsia" w:eastAsiaTheme="minorEastAsia" w:cs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（二）2021年度共</w:t>
      </w:r>
      <w:r>
        <w:rPr>
          <w:rFonts w:hint="eastAsia" w:asciiTheme="minorEastAsia" w:hAnsiTheme="minorEastAsia" w:eastAsiaTheme="minorEastAsia" w:cstheme="minorEastAsia"/>
          <w:sz w:val="28"/>
          <w:szCs w:val="28"/>
        </w:rPr>
        <w:t>下达资质认定评审计划223，已完成现场评审提交发证196家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委托计量器具型式评价计划32家/次，已完成提交发证26家/次</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组织完成13家机构的计量器具核准，并提交发证，已完成提交发证13家/次。受省局委派参加了2021年度检验检测机构“双随机、一公开”监督检查的组织策划、现场检查及结果研判。此项工作历时3个月，根据“随机抽查、公正公开、问题导向”的原则，按照“双随机”要求，随机抽取了机动车检验机构、环境监测机构、食品检验机构和常压灌车检验机构共计62家，检查人员（由省生态环境厅、省市场监督管理局共同从湖北、广西及我省市场监管部门专家库随机抽取），并特邀省纪委监委驻省市场监督管理局纪检组派人对以上过程进行了监督，组成了8个检查组，覆盖14个地州市。被检查的66家机构中，均不同程度发现一些问题</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并向省局提出了</w:t>
      </w:r>
      <w:r>
        <w:rPr>
          <w:rFonts w:hint="eastAsia" w:asciiTheme="minorEastAsia" w:hAnsiTheme="minorEastAsia" w:eastAsiaTheme="minorEastAsia" w:cstheme="minorEastAsia"/>
          <w:sz w:val="28"/>
          <w:szCs w:val="28"/>
        </w:rPr>
        <w:t>给予依法查处/责令整改</w:t>
      </w:r>
      <w:r>
        <w:rPr>
          <w:rFonts w:hint="eastAsia" w:asciiTheme="minorEastAsia" w:hAnsiTheme="minorEastAsia" w:eastAsiaTheme="minorEastAsia" w:cstheme="minorEastAsia"/>
          <w:sz w:val="28"/>
          <w:szCs w:val="28"/>
          <w:lang w:val="en-US" w:eastAsia="zh-CN"/>
        </w:rPr>
        <w:t>意见</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并</w:t>
      </w:r>
      <w:r>
        <w:rPr>
          <w:rFonts w:hint="eastAsia" w:asciiTheme="minorEastAsia" w:hAnsiTheme="minorEastAsia" w:eastAsiaTheme="minorEastAsia" w:cstheme="minorEastAsia"/>
          <w:sz w:val="28"/>
          <w:szCs w:val="28"/>
        </w:rPr>
        <w:t>移交当地监管部门查办</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对规范湖南认证市场行为，打造诚信营商环境，促进地方经济发展提出了建设性意见</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按照国家深化行政许可改革的要求，根据省局部署安排，不断深化商事制度改革，做好了食品相关产品、重要工业产品、检验检测机构资质认定等许可审查检查组织工作。组织安排各类许可审查检查677家（其中许可审查、例行检查、评审考核等共605家，监督检查72家），向省局提交现场评审结论报告600 份。协助省局业务处室网上受理审查、业务咨询796件次，落实了心系人民、服务全局、高效协同的要求。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巩固深化“放管服”改革成果，在全力实现“一件事一次办”的同时为许可事项事前、事中、事后监督管理提供强有力的技术支撑和保证。根据相关制度改革和上级工作要求，组织对内部业务规范进一步修订，制定实施《工业产品生产许可审查工作内部管理规范》《食品相关产品例行监督检查工作内部管理规范》《计量行政许可审查工作内部管理规范》《检验检测机构资质认定工作内部管理规范》等，实现审查工作质量和效率再提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织专家调研企业生产经营状况，帮助企业技术升级；政务窗口值班过程中，开展政务政策答难，帮扶群众节约资源成本；充分发挥中心在检验检测资质认定技术上的优势，指导企业开展标准制修订、提升检验检测能力；组织编印《工业产品生产许可证申证业务指南》《食品相关产品申证指南》《检验检测机构资质认定100问》等技术指导资料，免费发放给服务对象，减少服务对象“走弯路”现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通过对中心整体支出情况的分析，发现存在的主要问题是：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指标调剂，由于预算科目无法与实际支出完全相符，在年末将部分公用经费-其他交通费调剂至人员经费-伙食补助使用。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（二）指标调剂，</w:t>
      </w:r>
      <w:r>
        <w:rPr>
          <w:rFonts w:hint="eastAsia" w:asciiTheme="minorEastAsia" w:hAnsiTheme="minorEastAsia" w:eastAsiaTheme="minorEastAsia" w:cstheme="minorEastAsia"/>
          <w:sz w:val="28"/>
          <w:szCs w:val="28"/>
        </w:rPr>
        <w:t>原预算支出202</w:t>
      </w:r>
      <w:r>
        <w:rPr>
          <w:rFonts w:hint="eastAsia" w:asciiTheme="minorEastAsia" w:hAnsiTheme="minorEastAsia" w:eastAsiaTheme="minorEastAsia" w:cstheme="minorEastAsia"/>
          <w:sz w:val="28"/>
          <w:szCs w:val="28"/>
          <w:lang w:val="en-US" w:eastAsia="zh-CN"/>
        </w:rPr>
        <w:t>1年培训费由于疫情原因无法开展，将其调剂至人员经费-伙食补助使用。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因公出国（境）费用</w:t>
      </w:r>
      <w:r>
        <w:rPr>
          <w:rFonts w:hint="eastAsia" w:asciiTheme="minorEastAsia" w:hAnsiTheme="minorEastAsia" w:eastAsiaTheme="minorEastAsia" w:cstheme="minorEastAsia"/>
          <w:sz w:val="28"/>
          <w:szCs w:val="28"/>
          <w:lang w:val="en-US" w:eastAsia="zh-CN"/>
        </w:rPr>
        <w:t>预算指标5万元由于疫情原因未开展，2021年未支出。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资金管理，提高使用效益，进一步合理调整支出结构，严格按预算办事。通过对部门预算管理的完善，实行对公用经费综合统筹，分季度计划，定额定向，节约支出，完善审批流程，加强财务管理，确保资金的使用发挥最大效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六、单位整体支出绩效自评结果拟应用和公开情况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中心按照省财政厅部署的绩效评价工作，认真对照202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年预算决算情况。开展部门整体支出绩效自评，将在指定时间按要求进行评价结果的公开。在以后的财务管理中，将充分利用绩效评价成果，对工作进度及资金使用进度进行实时动态管控。</w:t>
      </w:r>
    </w:p>
    <w:p>
      <w:pPr>
        <w:widowControl/>
        <w:spacing w:line="600" w:lineRule="exact"/>
        <w:jc w:val="left"/>
        <w:outlineLvl w:val="0"/>
        <w:rPr>
          <w:rFonts w:hint="eastAsia" w:eastAsia="方正黑体_GBK"/>
          <w:sz w:val="32"/>
          <w:szCs w:val="32"/>
        </w:rPr>
      </w:pPr>
    </w:p>
    <w:p>
      <w:pPr>
        <w:widowControl/>
        <w:spacing w:line="600" w:lineRule="exact"/>
        <w:jc w:val="left"/>
        <w:outlineLvl w:val="0"/>
        <w:rPr>
          <w:rFonts w:hint="eastAsia" w:eastAsia="方正黑体_GBK"/>
          <w:sz w:val="32"/>
          <w:szCs w:val="32"/>
          <w:lang w:eastAsia="zh-CN"/>
        </w:rPr>
      </w:pPr>
      <w:r>
        <w:rPr>
          <w:rFonts w:hint="eastAsia" w:eastAsia="方正黑体_GBK"/>
          <w:sz w:val="32"/>
          <w:szCs w:val="32"/>
        </w:rPr>
        <w:t>附件</w:t>
      </w:r>
      <w:r>
        <w:rPr>
          <w:rFonts w:hint="eastAsia" w:eastAsia="方正黑体_GBK"/>
          <w:sz w:val="32"/>
          <w:szCs w:val="32"/>
          <w:lang w:val="en-US" w:eastAsia="zh-CN"/>
        </w:rPr>
        <w:t>2</w:t>
      </w:r>
    </w:p>
    <w:p>
      <w:pPr>
        <w:widowControl/>
        <w:spacing w:before="156" w:beforeLines="50" w:after="156" w:afterLines="50" w:line="600" w:lineRule="exact"/>
        <w:jc w:val="center"/>
        <w:rPr>
          <w:rFonts w:hint="eastAsia" w:ascii="方正小标宋_GBK" w:hAnsi="微软雅黑" w:eastAsia="方正小标宋_GBK" w:cs="微软雅黑"/>
          <w:color w:val="000000"/>
          <w:kern w:val="0"/>
          <w:sz w:val="44"/>
          <w:szCs w:val="44"/>
        </w:rPr>
      </w:pPr>
      <w:r>
        <w:rPr>
          <w:rFonts w:hint="eastAsia" w:ascii="方正小标宋_GBK" w:hAnsi="微软雅黑" w:eastAsia="方正小标宋_GBK" w:cs="微软雅黑"/>
          <w:color w:val="000000"/>
          <w:kern w:val="0"/>
          <w:sz w:val="44"/>
          <w:szCs w:val="44"/>
        </w:rPr>
        <w:t>2021年度单位整体支出绩效评价基础数据表</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3195"/>
        <w:gridCol w:w="1130"/>
        <w:gridCol w:w="809"/>
        <w:gridCol w:w="1073"/>
        <w:gridCol w:w="1058"/>
        <w:gridCol w:w="923"/>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vMerge w:val="restart"/>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财政供养人员情况（人）</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编制数</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2021年实际在职人数</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控制率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7" w:hRule="atLeast"/>
          <w:jc w:val="center"/>
        </w:trPr>
        <w:tc>
          <w:tcPr>
            <w:tcW w:w="1772" w:type="pct"/>
            <w:vMerge w:val="continue"/>
            <w:noWrap w:val="0"/>
            <w:vAlign w:val="center"/>
          </w:tcPr>
          <w:p>
            <w:pPr>
              <w:widowControl/>
              <w:jc w:val="left"/>
              <w:rPr>
                <w:rFonts w:hint="eastAsia" w:ascii="仿宋" w:hAnsi="仿宋" w:eastAsia="仿宋" w:cs="仿宋"/>
                <w:kern w:val="0"/>
                <w:szCs w:val="21"/>
              </w:rPr>
            </w:pPr>
          </w:p>
        </w:tc>
        <w:tc>
          <w:tcPr>
            <w:tcW w:w="1076"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8</w:t>
            </w:r>
          </w:p>
        </w:tc>
        <w:tc>
          <w:tcPr>
            <w:tcW w:w="1182"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8</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经费控制情况（万元）</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2020年决算数</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2021年预算数</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2021年决算数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三公经费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0.65</w:t>
            </w:r>
          </w:p>
        </w:tc>
        <w:tc>
          <w:tcPr>
            <w:tcW w:w="1182"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5.4</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1、公务用车购置和维护经费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0.65</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967"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其中：公车购置</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1182"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c>
          <w:tcPr>
            <w:tcW w:w="967"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公车运行维护</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0.65</w:t>
            </w:r>
            <w:r>
              <w:rPr>
                <w:rFonts w:hint="eastAsia" w:ascii="仿宋" w:hAnsi="仿宋" w:eastAsia="仿宋" w:cs="仿宋"/>
                <w:kern w:val="0"/>
                <w:szCs w:val="21"/>
              </w:rPr>
              <w:t>　</w:t>
            </w:r>
          </w:p>
        </w:tc>
        <w:tc>
          <w:tcPr>
            <w:tcW w:w="1182"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2、出国经费</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5</w:t>
            </w:r>
            <w:r>
              <w:rPr>
                <w:rFonts w:hint="eastAsia" w:ascii="仿宋" w:hAnsi="仿宋" w:eastAsia="仿宋" w:cs="仿宋"/>
                <w:kern w:val="0"/>
                <w:szCs w:val="21"/>
              </w:rPr>
              <w:t>　</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3、公务接待</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1182" w:type="pct"/>
            <w:gridSpan w:val="2"/>
            <w:noWrap w:val="0"/>
            <w:vAlign w:val="center"/>
          </w:tcPr>
          <w:p>
            <w:pPr>
              <w:widowControl/>
              <w:jc w:val="center"/>
              <w:rPr>
                <w:rFonts w:hint="default" w:ascii="仿宋" w:hAnsi="仿宋" w:eastAsia="仿宋" w:cs="仿宋"/>
                <w:kern w:val="0"/>
                <w:szCs w:val="21"/>
                <w:lang w:val="en-US"/>
              </w:rPr>
            </w:pPr>
            <w:r>
              <w:rPr>
                <w:rFonts w:hint="eastAsia" w:ascii="仿宋" w:hAnsi="仿宋" w:eastAsia="仿宋" w:cs="仿宋"/>
                <w:kern w:val="0"/>
                <w:szCs w:val="21"/>
                <w:lang w:val="en-US" w:eastAsia="zh-CN"/>
              </w:rPr>
              <w:t>0.4</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0.13</w:t>
            </w: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3"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项目支出：</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1"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1、业务工作经费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4.17</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4</w:t>
            </w:r>
            <w:r>
              <w:rPr>
                <w:rFonts w:hint="eastAsia" w:ascii="仿宋" w:hAnsi="仿宋" w:eastAsia="仿宋" w:cs="仿宋"/>
                <w:kern w:val="0"/>
                <w:szCs w:val="21"/>
              </w:rPr>
              <w:t>　</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4</w:t>
            </w: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2、运行维护经费</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1182"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3、省级专项资金（一个专项一行）</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174.47</w:t>
            </w:r>
            <w:r>
              <w:rPr>
                <w:rFonts w:hint="eastAsia" w:ascii="仿宋" w:hAnsi="仿宋" w:eastAsia="仿宋" w:cs="仿宋"/>
                <w:kern w:val="0"/>
                <w:szCs w:val="21"/>
              </w:rPr>
              <w:t>　</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165</w:t>
            </w:r>
            <w:r>
              <w:rPr>
                <w:rFonts w:hint="eastAsia" w:ascii="仿宋" w:hAnsi="仿宋" w:eastAsia="仿宋" w:cs="仿宋"/>
                <w:kern w:val="0"/>
                <w:szCs w:val="21"/>
              </w:rPr>
              <w:t>　</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160.41</w:t>
            </w: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xml:space="preserve">  重要工业产品专项经费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50</w:t>
            </w:r>
          </w:p>
        </w:tc>
        <w:tc>
          <w:tcPr>
            <w:tcW w:w="1182"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60</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ind w:firstLine="630" w:firstLineChars="300"/>
              <w:jc w:val="left"/>
              <w:rPr>
                <w:rFonts w:hint="eastAsia" w:ascii="仿宋" w:hAnsi="仿宋" w:eastAsia="仿宋" w:cs="仿宋"/>
                <w:kern w:val="0"/>
                <w:szCs w:val="21"/>
              </w:rPr>
            </w:pPr>
            <w:r>
              <w:rPr>
                <w:rFonts w:hint="eastAsia" w:ascii="仿宋" w:hAnsi="仿宋" w:eastAsia="仿宋" w:cs="仿宋"/>
                <w:kern w:val="0"/>
                <w:szCs w:val="21"/>
              </w:rPr>
              <w:t>计量行政许可评审</w:t>
            </w:r>
          </w:p>
        </w:tc>
        <w:tc>
          <w:tcPr>
            <w:tcW w:w="1076"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1182"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ind w:firstLine="630" w:firstLineChars="300"/>
              <w:jc w:val="left"/>
              <w:rPr>
                <w:rFonts w:hint="eastAsia" w:ascii="仿宋" w:hAnsi="仿宋" w:eastAsia="仿宋" w:cs="仿宋"/>
                <w:kern w:val="0"/>
                <w:szCs w:val="21"/>
              </w:rPr>
            </w:pPr>
            <w:r>
              <w:rPr>
                <w:rFonts w:hint="eastAsia" w:ascii="仿宋" w:hAnsi="仿宋" w:eastAsia="仿宋" w:cs="仿宋"/>
                <w:kern w:val="0"/>
                <w:szCs w:val="21"/>
              </w:rPr>
              <w:t>认可检测业务专项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62</w:t>
            </w:r>
          </w:p>
        </w:tc>
        <w:tc>
          <w:tcPr>
            <w:tcW w:w="1182"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70</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ind w:firstLine="630" w:firstLineChars="300"/>
              <w:jc w:val="left"/>
              <w:rPr>
                <w:rFonts w:hint="eastAsia" w:ascii="仿宋" w:hAnsi="仿宋" w:eastAsia="仿宋" w:cs="仿宋"/>
                <w:kern w:val="0"/>
                <w:szCs w:val="21"/>
              </w:rPr>
            </w:pPr>
            <w:r>
              <w:rPr>
                <w:rFonts w:hint="eastAsia" w:eastAsia="仿宋_GB2312"/>
                <w:kern w:val="0"/>
                <w:szCs w:val="21"/>
              </w:rPr>
              <w:t>认证审评审查经费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30.08</w:t>
            </w:r>
          </w:p>
        </w:tc>
        <w:tc>
          <w:tcPr>
            <w:tcW w:w="1182"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ind w:firstLine="630" w:firstLineChars="300"/>
              <w:jc w:val="left"/>
              <w:rPr>
                <w:rFonts w:hint="eastAsia" w:ascii="仿宋" w:hAnsi="仿宋" w:eastAsia="仿宋" w:cs="仿宋"/>
                <w:kern w:val="0"/>
                <w:szCs w:val="21"/>
              </w:rPr>
            </w:pPr>
            <w:r>
              <w:rPr>
                <w:rFonts w:hint="eastAsia" w:ascii="仿宋" w:hAnsi="仿宋" w:eastAsia="仿宋" w:cs="仿宋"/>
                <w:kern w:val="0"/>
                <w:szCs w:val="21"/>
              </w:rPr>
              <w:t>市场监督管理专项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32.39</w:t>
            </w:r>
          </w:p>
        </w:tc>
        <w:tc>
          <w:tcPr>
            <w:tcW w:w="1182"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30</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公用经费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18.2</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37.06</w:t>
            </w:r>
            <w:r>
              <w:rPr>
                <w:rFonts w:hint="eastAsia" w:ascii="仿宋" w:hAnsi="仿宋" w:eastAsia="仿宋" w:cs="仿宋"/>
                <w:kern w:val="0"/>
                <w:szCs w:val="21"/>
              </w:rPr>
              <w:t>　</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30.1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其中：办公经费</w:t>
            </w:r>
          </w:p>
        </w:tc>
        <w:tc>
          <w:tcPr>
            <w:tcW w:w="1076" w:type="pct"/>
            <w:gridSpan w:val="2"/>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3</w:t>
            </w:r>
            <w:r>
              <w:rPr>
                <w:rFonts w:hint="eastAsia" w:ascii="仿宋" w:hAnsi="仿宋" w:eastAsia="仿宋" w:cs="仿宋"/>
                <w:color w:val="000000"/>
                <w:kern w:val="0"/>
                <w:szCs w:val="21"/>
              </w:rPr>
              <w:t>　</w:t>
            </w:r>
          </w:p>
        </w:tc>
        <w:tc>
          <w:tcPr>
            <w:tcW w:w="1182" w:type="pct"/>
            <w:gridSpan w:val="2"/>
            <w:noWrap w:val="0"/>
            <w:vAlign w:val="center"/>
          </w:tcPr>
          <w:p>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749" w:type="dxa"/>
            <w:gridSpan w:val="2"/>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r>
              <w:rPr>
                <w:rFonts w:hint="eastAsia" w:ascii="仿宋" w:hAnsi="仿宋" w:eastAsia="仿宋" w:cs="仿宋"/>
                <w:color w:val="000000"/>
                <w:kern w:val="0"/>
                <w:szCs w:val="21"/>
                <w:lang w:val="en-US" w:eastAsia="zh-CN"/>
              </w:rPr>
              <w:t>4.12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水费、电费、差旅费</w:t>
            </w:r>
          </w:p>
        </w:tc>
        <w:tc>
          <w:tcPr>
            <w:tcW w:w="1076" w:type="pct"/>
            <w:gridSpan w:val="2"/>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0.85</w:t>
            </w:r>
            <w:r>
              <w:rPr>
                <w:rFonts w:hint="eastAsia" w:ascii="仿宋" w:hAnsi="仿宋" w:eastAsia="仿宋" w:cs="仿宋"/>
                <w:color w:val="000000"/>
                <w:kern w:val="0"/>
                <w:szCs w:val="21"/>
              </w:rPr>
              <w:t>　</w:t>
            </w:r>
          </w:p>
        </w:tc>
        <w:tc>
          <w:tcPr>
            <w:tcW w:w="1182" w:type="pct"/>
            <w:gridSpan w:val="2"/>
            <w:noWrap w:val="0"/>
            <w:vAlign w:val="center"/>
          </w:tcPr>
          <w:p>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c>
          <w:tcPr>
            <w:tcW w:w="1749" w:type="dxa"/>
            <w:gridSpan w:val="2"/>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1.83</w:t>
            </w:r>
            <w:r>
              <w:rPr>
                <w:rFonts w:hint="eastAsia" w:ascii="仿宋" w:hAnsi="仿宋" w:eastAsia="仿宋"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会议费、培训费</w:t>
            </w:r>
          </w:p>
        </w:tc>
        <w:tc>
          <w:tcPr>
            <w:tcW w:w="1076" w:type="pct"/>
            <w:gridSpan w:val="2"/>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0</w:t>
            </w:r>
            <w:r>
              <w:rPr>
                <w:rFonts w:hint="eastAsia" w:ascii="仿宋" w:hAnsi="仿宋" w:eastAsia="仿宋" w:cs="仿宋"/>
                <w:color w:val="000000"/>
                <w:kern w:val="0"/>
                <w:szCs w:val="21"/>
              </w:rPr>
              <w:t>　</w:t>
            </w:r>
          </w:p>
        </w:tc>
        <w:tc>
          <w:tcPr>
            <w:tcW w:w="1182" w:type="pct"/>
            <w:gridSpan w:val="2"/>
            <w:noWrap w:val="0"/>
            <w:vAlign w:val="center"/>
          </w:tcPr>
          <w:p>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8</w:t>
            </w:r>
          </w:p>
        </w:tc>
        <w:tc>
          <w:tcPr>
            <w:tcW w:w="1749" w:type="dxa"/>
            <w:gridSpan w:val="2"/>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r>
              <w:rPr>
                <w:rFonts w:hint="eastAsia" w:ascii="仿宋" w:hAnsi="仿宋" w:eastAsia="仿宋" w:cs="仿宋"/>
                <w:color w:val="000000"/>
                <w:kern w:val="0"/>
                <w:szCs w:val="21"/>
                <w:lang w:val="en-US" w:eastAsia="zh-CN"/>
              </w:rPr>
              <w:t>0.92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政府采购金额</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w:t>
            </w:r>
          </w:p>
        </w:tc>
        <w:tc>
          <w:tcPr>
            <w:tcW w:w="1182"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4</w:t>
            </w:r>
          </w:p>
        </w:tc>
        <w:tc>
          <w:tcPr>
            <w:tcW w:w="967"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单位基本支出预算调整 </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12.7</w:t>
            </w:r>
            <w:r>
              <w:rPr>
                <w:rFonts w:hint="eastAsia" w:ascii="仿宋" w:hAnsi="仿宋" w:eastAsia="仿宋" w:cs="仿宋"/>
                <w:kern w:val="0"/>
                <w:szCs w:val="21"/>
              </w:rPr>
              <w:t>　</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12.7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vMerge w:val="restart"/>
            <w:noWrap w:val="0"/>
            <w:vAlign w:val="center"/>
          </w:tcPr>
          <w:p>
            <w:pPr>
              <w:widowControl/>
              <w:jc w:val="center"/>
              <w:rPr>
                <w:rFonts w:hint="eastAsia" w:ascii="仿宋" w:hAnsi="仿宋" w:eastAsia="仿宋" w:cs="仿宋"/>
                <w:kern w:val="0"/>
                <w:szCs w:val="21"/>
                <w:lang w:eastAsia="zh-CN"/>
              </w:rPr>
            </w:pPr>
            <w:r>
              <w:rPr>
                <w:rFonts w:hint="eastAsia" w:ascii="仿宋" w:hAnsi="仿宋" w:eastAsia="仿宋" w:cs="仿宋"/>
                <w:kern w:val="0"/>
                <w:szCs w:val="21"/>
              </w:rPr>
              <w:t>楼堂馆所控制情况</w:t>
            </w:r>
          </w:p>
          <w:p>
            <w:pPr>
              <w:widowControl/>
              <w:jc w:val="center"/>
              <w:rPr>
                <w:rFonts w:hint="eastAsia" w:ascii="仿宋" w:hAnsi="仿宋" w:eastAsia="仿宋" w:cs="仿宋"/>
                <w:kern w:val="0"/>
                <w:szCs w:val="21"/>
              </w:rPr>
            </w:pPr>
            <w:r>
              <w:rPr>
                <w:rFonts w:hint="eastAsia" w:ascii="仿宋" w:hAnsi="仿宋" w:eastAsia="仿宋" w:cs="仿宋"/>
                <w:kern w:val="0"/>
                <w:szCs w:val="21"/>
              </w:rPr>
              <w:t>（2021年完工项目）</w:t>
            </w:r>
          </w:p>
        </w:tc>
        <w:tc>
          <w:tcPr>
            <w:tcW w:w="627" w:type="pct"/>
            <w:noWrap w:val="0"/>
            <w:vAlign w:val="center"/>
          </w:tcPr>
          <w:p>
            <w:pPr>
              <w:widowControl/>
              <w:spacing w:line="240" w:lineRule="exact"/>
              <w:jc w:val="center"/>
              <w:rPr>
                <w:rFonts w:hint="eastAsia" w:ascii="仿宋" w:hAnsi="仿宋" w:eastAsia="仿宋" w:cs="仿宋"/>
                <w:bCs/>
                <w:kern w:val="0"/>
                <w:szCs w:val="21"/>
                <w:lang w:eastAsia="zh-CN"/>
              </w:rPr>
            </w:pPr>
            <w:r>
              <w:rPr>
                <w:rFonts w:hint="eastAsia" w:ascii="仿宋" w:hAnsi="仿宋" w:eastAsia="仿宋" w:cs="仿宋"/>
                <w:bCs/>
                <w:kern w:val="0"/>
                <w:szCs w:val="21"/>
              </w:rPr>
              <w:t>批复规模</w:t>
            </w:r>
          </w:p>
          <w:p>
            <w:pPr>
              <w:widowControl/>
              <w:spacing w:line="24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448" w:type="pct"/>
            <w:noWrap w:val="0"/>
            <w:vAlign w:val="center"/>
          </w:tcPr>
          <w:p>
            <w:pPr>
              <w:widowControl/>
              <w:spacing w:line="240" w:lineRule="exact"/>
              <w:jc w:val="center"/>
              <w:rPr>
                <w:rFonts w:hint="eastAsia" w:ascii="仿宋" w:hAnsi="仿宋" w:eastAsia="仿宋" w:cs="仿宋"/>
                <w:bCs/>
                <w:kern w:val="0"/>
                <w:szCs w:val="21"/>
              </w:rPr>
            </w:pPr>
            <w:r>
              <w:rPr>
                <w:rFonts w:hint="eastAsia" w:ascii="仿宋" w:hAnsi="仿宋" w:eastAsia="仿宋" w:cs="仿宋"/>
                <w:bCs/>
                <w:kern w:val="0"/>
                <w:szCs w:val="21"/>
              </w:rPr>
              <w:t>实际规模（㎡）</w:t>
            </w:r>
          </w:p>
        </w:tc>
        <w:tc>
          <w:tcPr>
            <w:tcW w:w="595" w:type="pct"/>
            <w:noWrap w:val="0"/>
            <w:vAlign w:val="center"/>
          </w:tcPr>
          <w:p>
            <w:pPr>
              <w:widowControl/>
              <w:spacing w:line="240" w:lineRule="exact"/>
              <w:jc w:val="center"/>
              <w:rPr>
                <w:rFonts w:hint="eastAsia" w:ascii="仿宋" w:hAnsi="仿宋" w:eastAsia="仿宋" w:cs="仿宋"/>
                <w:bCs/>
                <w:kern w:val="0"/>
                <w:szCs w:val="21"/>
              </w:rPr>
            </w:pPr>
            <w:r>
              <w:rPr>
                <w:rFonts w:hint="eastAsia" w:ascii="仿宋" w:hAnsi="仿宋" w:eastAsia="仿宋" w:cs="仿宋"/>
                <w:bCs/>
                <w:kern w:val="0"/>
                <w:szCs w:val="21"/>
              </w:rPr>
              <w:t>规模控制率</w:t>
            </w:r>
          </w:p>
        </w:tc>
        <w:tc>
          <w:tcPr>
            <w:tcW w:w="586" w:type="pct"/>
            <w:noWrap w:val="0"/>
            <w:vAlign w:val="center"/>
          </w:tcPr>
          <w:p>
            <w:pPr>
              <w:widowControl/>
              <w:spacing w:line="240" w:lineRule="exact"/>
              <w:jc w:val="center"/>
              <w:rPr>
                <w:rFonts w:hint="eastAsia" w:ascii="仿宋" w:hAnsi="仿宋" w:eastAsia="仿宋" w:cs="仿宋"/>
                <w:bCs/>
                <w:kern w:val="0"/>
                <w:szCs w:val="21"/>
              </w:rPr>
            </w:pPr>
            <w:r>
              <w:rPr>
                <w:rFonts w:hint="eastAsia" w:ascii="仿宋" w:hAnsi="仿宋" w:eastAsia="仿宋" w:cs="仿宋"/>
                <w:bCs/>
                <w:kern w:val="0"/>
                <w:szCs w:val="21"/>
              </w:rPr>
              <w:t>预算投资（万元）</w:t>
            </w:r>
          </w:p>
        </w:tc>
        <w:tc>
          <w:tcPr>
            <w:tcW w:w="512" w:type="pct"/>
            <w:noWrap w:val="0"/>
            <w:vAlign w:val="center"/>
          </w:tcPr>
          <w:p>
            <w:pPr>
              <w:widowControl/>
              <w:spacing w:line="240" w:lineRule="exact"/>
              <w:jc w:val="center"/>
              <w:rPr>
                <w:rFonts w:hint="eastAsia" w:ascii="仿宋" w:hAnsi="仿宋" w:eastAsia="仿宋" w:cs="仿宋"/>
                <w:bCs/>
                <w:kern w:val="0"/>
                <w:szCs w:val="21"/>
              </w:rPr>
            </w:pPr>
            <w:r>
              <w:rPr>
                <w:rFonts w:hint="eastAsia" w:ascii="仿宋" w:hAnsi="仿宋" w:eastAsia="仿宋" w:cs="仿宋"/>
                <w:bCs/>
                <w:kern w:val="0"/>
                <w:szCs w:val="21"/>
              </w:rPr>
              <w:t>实际投资（万元）</w:t>
            </w:r>
          </w:p>
        </w:tc>
        <w:tc>
          <w:tcPr>
            <w:tcW w:w="455" w:type="pct"/>
            <w:noWrap w:val="0"/>
            <w:vAlign w:val="center"/>
          </w:tcPr>
          <w:p>
            <w:pPr>
              <w:widowControl/>
              <w:spacing w:line="240" w:lineRule="exact"/>
              <w:jc w:val="center"/>
              <w:rPr>
                <w:rFonts w:hint="eastAsia" w:ascii="仿宋" w:hAnsi="仿宋" w:eastAsia="仿宋" w:cs="仿宋"/>
                <w:bCs/>
                <w:kern w:val="0"/>
                <w:szCs w:val="21"/>
              </w:rPr>
            </w:pPr>
            <w:r>
              <w:rPr>
                <w:rFonts w:hint="eastAsia" w:ascii="仿宋" w:hAnsi="仿宋" w:eastAsia="仿宋" w:cs="仿宋"/>
                <w:bCs/>
                <w:kern w:val="0"/>
                <w:szCs w:val="21"/>
              </w:rPr>
              <w:t>投资概算控制率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vMerge w:val="continue"/>
            <w:noWrap w:val="0"/>
            <w:vAlign w:val="center"/>
          </w:tcPr>
          <w:p>
            <w:pPr>
              <w:widowControl/>
              <w:jc w:val="left"/>
              <w:rPr>
                <w:rFonts w:hint="eastAsia" w:ascii="仿宋" w:hAnsi="仿宋" w:eastAsia="仿宋" w:cs="仿宋"/>
                <w:kern w:val="0"/>
                <w:szCs w:val="21"/>
              </w:rPr>
            </w:pPr>
          </w:p>
        </w:tc>
        <w:tc>
          <w:tcPr>
            <w:tcW w:w="627" w:type="pct"/>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448" w:type="pct"/>
            <w:noWrap w:val="0"/>
            <w:vAlign w:val="center"/>
          </w:tcPr>
          <w:p>
            <w:pPr>
              <w:widowControl/>
              <w:jc w:val="left"/>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c>
          <w:tcPr>
            <w:tcW w:w="595" w:type="pct"/>
            <w:noWrap w:val="0"/>
            <w:vAlign w:val="center"/>
          </w:tcPr>
          <w:p>
            <w:pPr>
              <w:widowControl/>
              <w:jc w:val="left"/>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c>
          <w:tcPr>
            <w:tcW w:w="586" w:type="pct"/>
            <w:noWrap w:val="0"/>
            <w:vAlign w:val="center"/>
          </w:tcPr>
          <w:p>
            <w:pPr>
              <w:widowControl/>
              <w:jc w:val="left"/>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c>
          <w:tcPr>
            <w:tcW w:w="512" w:type="pct"/>
            <w:noWrap w:val="0"/>
            <w:vAlign w:val="center"/>
          </w:tcPr>
          <w:p>
            <w:pPr>
              <w:widowControl/>
              <w:jc w:val="left"/>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c>
          <w:tcPr>
            <w:tcW w:w="455" w:type="pct"/>
            <w:noWrap w:val="0"/>
            <w:vAlign w:val="center"/>
          </w:tcPr>
          <w:p>
            <w:pPr>
              <w:widowControl/>
              <w:jc w:val="left"/>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厉行节约保障措施</w:t>
            </w:r>
          </w:p>
        </w:tc>
        <w:tc>
          <w:tcPr>
            <w:tcW w:w="3227" w:type="pct"/>
            <w:gridSpan w:val="6"/>
            <w:noWrap w:val="0"/>
            <w:vAlign w:val="center"/>
          </w:tcPr>
          <w:p>
            <w:pPr>
              <w:widowControl/>
              <w:jc w:val="center"/>
              <w:rPr>
                <w:rFonts w:hint="eastAsia" w:ascii="仿宋" w:hAnsi="仿宋" w:eastAsia="仿宋" w:cs="仿宋"/>
                <w:kern w:val="0"/>
                <w:szCs w:val="21"/>
              </w:rPr>
            </w:pPr>
            <w:r>
              <w:rPr>
                <w:rFonts w:eastAsia="仿宋_GB2312"/>
                <w:kern w:val="0"/>
                <w:szCs w:val="21"/>
              </w:rPr>
              <w:t>严格按照各项财务管理制度严控支出</w:t>
            </w:r>
            <w:r>
              <w:rPr>
                <w:rFonts w:hint="eastAsia" w:eastAsia="仿宋_GB2312"/>
                <w:kern w:val="0"/>
                <w:szCs w:val="21"/>
              </w:rPr>
              <w:t>，</w:t>
            </w:r>
            <w:r>
              <w:rPr>
                <w:rFonts w:eastAsia="仿宋_GB2312"/>
                <w:kern w:val="0"/>
                <w:szCs w:val="21"/>
              </w:rPr>
              <w:t>厉行节约</w:t>
            </w:r>
            <w:r>
              <w:rPr>
                <w:rFonts w:hint="eastAsia" w:ascii="仿宋" w:hAnsi="仿宋" w:eastAsia="仿宋" w:cs="仿宋"/>
                <w:kern w:val="0"/>
                <w:szCs w:val="21"/>
              </w:rPr>
              <w:t>　</w:t>
            </w:r>
          </w:p>
        </w:tc>
      </w:tr>
    </w:tbl>
    <w:p>
      <w:pPr>
        <w:rPr>
          <w:rFonts w:hint="eastAsia" w:ascii="仿宋" w:hAnsi="仿宋" w:eastAsia="仿宋" w:cs="仿宋"/>
        </w:rPr>
      </w:pPr>
      <w:r>
        <w:rPr>
          <w:rFonts w:hint="eastAsia" w:ascii="仿宋" w:hAnsi="仿宋" w:eastAsia="仿宋" w:cs="仿宋"/>
        </w:rPr>
        <w:t>说明：“项目支出”需要填报基本支出以外的所有项目支出情况，“公用经费”填报基本支出中的一般商品和服务支出。</w:t>
      </w:r>
    </w:p>
    <w:p>
      <w:pPr>
        <w:widowControl/>
        <w:spacing w:after="156" w:afterLines="50" w:line="400" w:lineRule="exact"/>
        <w:jc w:val="left"/>
        <w:rPr>
          <w:rFonts w:hint="eastAsia" w:ascii="方正黑体_GBK" w:eastAsia="方正黑体_GBK"/>
          <w:kern w:val="0"/>
          <w:szCs w:val="21"/>
        </w:rPr>
        <w:sectPr>
          <w:footerReference r:id="rId3" w:type="default"/>
          <w:pgSz w:w="11906" w:h="16838"/>
          <w:pgMar w:top="1985" w:right="1474" w:bottom="1474" w:left="1474" w:header="851" w:footer="1134" w:gutter="0"/>
          <w:cols w:space="720" w:num="1"/>
          <w:docGrid w:type="lines" w:linePitch="312" w:charSpace="0"/>
        </w:sectPr>
      </w:pPr>
      <w:r>
        <w:rPr>
          <w:rFonts w:hint="eastAsia" w:ascii="方正黑体_GBK" w:eastAsia="方正黑体_GBK"/>
          <w:kern w:val="0"/>
          <w:szCs w:val="21"/>
        </w:rPr>
        <w:t>填表人：</w:t>
      </w:r>
      <w:r>
        <w:rPr>
          <w:rFonts w:hint="eastAsia" w:ascii="方正黑体_GBK" w:eastAsia="方正黑体_GBK"/>
          <w:kern w:val="0"/>
          <w:szCs w:val="21"/>
          <w:lang w:val="en-US" w:eastAsia="zh-CN"/>
        </w:rPr>
        <w:t>杨泓</w:t>
      </w:r>
      <w:r>
        <w:rPr>
          <w:rFonts w:hint="eastAsia" w:ascii="方正黑体_GBK" w:eastAsia="方正黑体_GBK"/>
          <w:kern w:val="0"/>
          <w:szCs w:val="21"/>
        </w:rPr>
        <w:t xml:space="preserve">    填报日期：</w:t>
      </w:r>
      <w:r>
        <w:rPr>
          <w:rFonts w:hint="eastAsia" w:ascii="方正黑体_GBK" w:eastAsia="方正黑体_GBK"/>
          <w:kern w:val="0"/>
          <w:szCs w:val="21"/>
          <w:lang w:val="en-US" w:eastAsia="zh-CN"/>
        </w:rPr>
        <w:t>2022.4.29</w:t>
      </w:r>
      <w:r>
        <w:rPr>
          <w:rFonts w:hint="eastAsia" w:ascii="方正黑体_GBK" w:eastAsia="方正黑体_GBK"/>
          <w:kern w:val="0"/>
          <w:szCs w:val="21"/>
        </w:rPr>
        <w:t xml:space="preserve">   联系电话：</w:t>
      </w:r>
      <w:r>
        <w:rPr>
          <w:rFonts w:hint="eastAsia" w:ascii="微软雅黑" w:hAnsi="微软雅黑" w:eastAsia="微软雅黑" w:cs="微软雅黑"/>
          <w:kern w:val="0"/>
          <w:szCs w:val="21"/>
          <w:lang w:val="en-US" w:eastAsia="zh-CN"/>
        </w:rPr>
        <w:t>0731-85693711</w:t>
      </w:r>
      <w:r>
        <w:rPr>
          <w:rFonts w:hint="eastAsia" w:ascii="微软雅黑" w:hAnsi="微软雅黑" w:eastAsia="微软雅黑" w:cs="微软雅黑"/>
          <w:kern w:val="0"/>
          <w:szCs w:val="21"/>
        </w:rPr>
        <w:t xml:space="preserve"> </w:t>
      </w:r>
      <w:r>
        <w:rPr>
          <w:rFonts w:hint="eastAsia" w:ascii="方正黑体_GBK" w:eastAsia="方正黑体_GBK"/>
          <w:kern w:val="0"/>
          <w:szCs w:val="21"/>
        </w:rPr>
        <w:t xml:space="preserve"> 单位负责人签字：</w:t>
      </w:r>
    </w:p>
    <w:p>
      <w:pPr>
        <w:widowControl/>
        <w:spacing w:line="600" w:lineRule="exact"/>
        <w:jc w:val="left"/>
        <w:outlineLvl w:val="0"/>
        <w:rPr>
          <w:rFonts w:hint="eastAsia" w:eastAsia="方正黑体_GBK"/>
          <w:sz w:val="32"/>
          <w:szCs w:val="32"/>
        </w:rPr>
      </w:pPr>
      <w:r>
        <w:rPr>
          <w:rFonts w:hint="eastAsia" w:eastAsia="方正黑体_GBK"/>
          <w:sz w:val="32"/>
          <w:szCs w:val="32"/>
        </w:rPr>
        <w:t>附件3</w:t>
      </w:r>
    </w:p>
    <w:p>
      <w:pPr>
        <w:widowControl/>
        <w:spacing w:before="156" w:beforeLines="50" w:after="156" w:afterLines="50" w:line="600" w:lineRule="exact"/>
        <w:jc w:val="center"/>
        <w:rPr>
          <w:rFonts w:hint="eastAsia" w:ascii="方正小标宋_GBK" w:hAnsi="微软雅黑" w:eastAsia="方正小标宋_GBK" w:cs="微软雅黑"/>
          <w:color w:val="000000"/>
          <w:kern w:val="0"/>
          <w:sz w:val="44"/>
          <w:szCs w:val="44"/>
        </w:rPr>
      </w:pPr>
      <w:r>
        <w:rPr>
          <w:rFonts w:hint="eastAsia" w:ascii="方正小标宋_GBK" w:hAnsi="微软雅黑" w:eastAsia="方正小标宋_GBK" w:cs="微软雅黑"/>
          <w:color w:val="000000"/>
          <w:kern w:val="0"/>
          <w:sz w:val="44"/>
          <w:szCs w:val="44"/>
        </w:rPr>
        <w:t>2021年度单位整体支出绩效自评表</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970"/>
        <w:gridCol w:w="974"/>
        <w:gridCol w:w="860"/>
        <w:gridCol w:w="1129"/>
        <w:gridCol w:w="88"/>
        <w:gridCol w:w="1083"/>
        <w:gridCol w:w="1157"/>
        <w:gridCol w:w="640"/>
        <w:gridCol w:w="891"/>
        <w:gridCol w:w="12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noWrap w:val="0"/>
            <w:vAlign w:val="center"/>
          </w:tcPr>
          <w:p>
            <w:pPr>
              <w:widowControl/>
              <w:spacing w:line="240" w:lineRule="exact"/>
              <w:jc w:val="left"/>
              <w:rPr>
                <w:rFonts w:hint="eastAsia" w:eastAsia="方正仿宋_GBK" w:cs="仿宋"/>
                <w:color w:val="000000"/>
                <w:kern w:val="0"/>
                <w:szCs w:val="21"/>
              </w:rPr>
            </w:pPr>
            <w:r>
              <w:rPr>
                <w:rFonts w:hint="eastAsia" w:eastAsia="方正仿宋_GBK" w:cs="仿宋"/>
                <w:color w:val="000000"/>
                <w:kern w:val="0"/>
                <w:szCs w:val="21"/>
              </w:rPr>
              <w:t>预算单位名称</w:t>
            </w:r>
          </w:p>
        </w:tc>
        <w:tc>
          <w:tcPr>
            <w:tcW w:w="4461" w:type="pct"/>
            <w:gridSpan w:val="9"/>
            <w:noWrap w:val="0"/>
            <w:vAlign w:val="center"/>
          </w:tcPr>
          <w:p>
            <w:pPr>
              <w:widowControl/>
              <w:spacing w:line="240" w:lineRule="exact"/>
              <w:jc w:val="center"/>
              <w:rPr>
                <w:rFonts w:hint="eastAsia" w:eastAsia="方正仿宋_GBK" w:cs="仿宋"/>
                <w:color w:val="000000"/>
                <w:kern w:val="0"/>
                <w:szCs w:val="21"/>
              </w:rPr>
            </w:pPr>
            <w:r>
              <w:rPr>
                <w:rFonts w:hint="eastAsia" w:ascii="仿宋_GB2312" w:hAnsi="宋体" w:eastAsia="仿宋_GB2312" w:cs="宋体"/>
                <w:color w:val="000000"/>
                <w:kern w:val="0"/>
                <w:szCs w:val="21"/>
              </w:rPr>
              <w:t>湖南省食品和工业产品生产许可审查中心</w:t>
            </w: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年度预</w:t>
            </w:r>
          </w:p>
          <w:p>
            <w:pPr>
              <w:widowControl/>
              <w:spacing w:line="240" w:lineRule="exact"/>
              <w:jc w:val="center"/>
              <w:rPr>
                <w:rFonts w:hint="eastAsia" w:eastAsia="方正仿宋_GBK" w:cs="仿宋"/>
                <w:color w:val="000000"/>
                <w:kern w:val="0"/>
                <w:szCs w:val="21"/>
                <w:lang w:eastAsia="zh-CN"/>
              </w:rPr>
            </w:pPr>
            <w:r>
              <w:rPr>
                <w:rFonts w:hint="eastAsia" w:eastAsia="方正仿宋_GBK" w:cs="仿宋"/>
                <w:color w:val="000000"/>
                <w:kern w:val="0"/>
                <w:szCs w:val="21"/>
              </w:rPr>
              <w:t>算申请</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（万元）</w:t>
            </w:r>
          </w:p>
        </w:tc>
        <w:tc>
          <w:tcPr>
            <w:tcW w:w="1017" w:type="pct"/>
            <w:gridSpan w:val="2"/>
            <w:noWrap w:val="0"/>
            <w:vAlign w:val="center"/>
          </w:tcPr>
          <w:p>
            <w:pPr>
              <w:spacing w:line="240" w:lineRule="exact"/>
              <w:jc w:val="center"/>
              <w:rPr>
                <w:rFonts w:hint="eastAsia" w:eastAsia="方正仿宋_GBK" w:cs="仿宋"/>
                <w:szCs w:val="21"/>
              </w:rPr>
            </w:pPr>
          </w:p>
        </w:tc>
        <w:tc>
          <w:tcPr>
            <w:tcW w:w="626" w:type="pct"/>
            <w:noWrap w:val="0"/>
            <w:vAlign w:val="center"/>
          </w:tcPr>
          <w:p>
            <w:pPr>
              <w:spacing w:line="240" w:lineRule="exact"/>
              <w:jc w:val="center"/>
              <w:rPr>
                <w:rFonts w:hint="eastAsia" w:eastAsia="方正仿宋_GBK" w:cs="仿宋"/>
                <w:szCs w:val="21"/>
              </w:rPr>
            </w:pPr>
            <w:r>
              <w:rPr>
                <w:rFonts w:hint="eastAsia" w:eastAsia="方正仿宋_GBK" w:cs="仿宋"/>
                <w:szCs w:val="21"/>
              </w:rPr>
              <w:t>年初</w:t>
            </w:r>
          </w:p>
          <w:p>
            <w:pPr>
              <w:spacing w:line="240" w:lineRule="exact"/>
              <w:jc w:val="center"/>
              <w:rPr>
                <w:rFonts w:hint="eastAsia" w:eastAsia="方正仿宋_GBK" w:cs="仿宋"/>
                <w:szCs w:val="21"/>
              </w:rPr>
            </w:pPr>
            <w:r>
              <w:rPr>
                <w:rFonts w:hint="eastAsia" w:eastAsia="方正仿宋_GBK" w:cs="仿宋"/>
                <w:szCs w:val="21"/>
              </w:rPr>
              <w:t>预算数</w:t>
            </w:r>
          </w:p>
        </w:tc>
        <w:tc>
          <w:tcPr>
            <w:tcW w:w="649" w:type="pct"/>
            <w:gridSpan w:val="2"/>
            <w:noWrap w:val="0"/>
            <w:vAlign w:val="center"/>
          </w:tcPr>
          <w:p>
            <w:pPr>
              <w:spacing w:line="240" w:lineRule="exact"/>
              <w:jc w:val="center"/>
              <w:rPr>
                <w:rFonts w:hint="eastAsia" w:eastAsia="方正仿宋_GBK" w:cs="仿宋"/>
                <w:szCs w:val="21"/>
              </w:rPr>
            </w:pPr>
            <w:r>
              <w:rPr>
                <w:rFonts w:hint="eastAsia" w:eastAsia="方正仿宋_GBK" w:cs="仿宋"/>
                <w:szCs w:val="21"/>
              </w:rPr>
              <w:t>全年预算数</w:t>
            </w:r>
          </w:p>
        </w:tc>
        <w:tc>
          <w:tcPr>
            <w:tcW w:w="641" w:type="pct"/>
            <w:noWrap w:val="0"/>
            <w:vAlign w:val="center"/>
          </w:tcPr>
          <w:p>
            <w:pPr>
              <w:spacing w:line="240" w:lineRule="exact"/>
              <w:jc w:val="center"/>
              <w:rPr>
                <w:rFonts w:hint="eastAsia" w:eastAsia="方正仿宋_GBK" w:cs="仿宋"/>
                <w:szCs w:val="21"/>
              </w:rPr>
            </w:pPr>
            <w:r>
              <w:rPr>
                <w:rFonts w:hint="eastAsia" w:eastAsia="方正仿宋_GBK" w:cs="仿宋"/>
                <w:szCs w:val="21"/>
              </w:rPr>
              <w:t>全年执行数</w:t>
            </w:r>
          </w:p>
        </w:tc>
        <w:tc>
          <w:tcPr>
            <w:tcW w:w="355" w:type="pct"/>
            <w:noWrap w:val="0"/>
            <w:vAlign w:val="center"/>
          </w:tcPr>
          <w:p>
            <w:pPr>
              <w:spacing w:line="240" w:lineRule="exact"/>
              <w:jc w:val="center"/>
              <w:rPr>
                <w:rFonts w:hint="eastAsia" w:eastAsia="方正仿宋_GBK" w:cs="仿宋"/>
                <w:szCs w:val="21"/>
              </w:rPr>
            </w:pPr>
            <w:r>
              <w:rPr>
                <w:rFonts w:hint="eastAsia" w:eastAsia="方正仿宋_GBK" w:cs="仿宋"/>
                <w:szCs w:val="21"/>
              </w:rPr>
              <w:t>分值</w:t>
            </w:r>
          </w:p>
        </w:tc>
        <w:tc>
          <w:tcPr>
            <w:tcW w:w="494" w:type="pct"/>
            <w:noWrap w:val="0"/>
            <w:vAlign w:val="center"/>
          </w:tcPr>
          <w:p>
            <w:pPr>
              <w:spacing w:line="240" w:lineRule="exact"/>
              <w:jc w:val="center"/>
              <w:rPr>
                <w:rFonts w:hint="eastAsia" w:eastAsia="方正仿宋_GBK" w:cs="仿宋"/>
                <w:szCs w:val="21"/>
              </w:rPr>
            </w:pPr>
            <w:r>
              <w:rPr>
                <w:rFonts w:hint="eastAsia" w:eastAsia="方正仿宋_GBK" w:cs="仿宋"/>
                <w:szCs w:val="21"/>
              </w:rPr>
              <w:t>执行率</w:t>
            </w:r>
          </w:p>
        </w:tc>
        <w:tc>
          <w:tcPr>
            <w:tcW w:w="677" w:type="pct"/>
            <w:noWrap w:val="0"/>
            <w:vAlign w:val="center"/>
          </w:tcPr>
          <w:p>
            <w:pPr>
              <w:spacing w:line="240" w:lineRule="exact"/>
              <w:jc w:val="center"/>
              <w:rPr>
                <w:rFonts w:hint="eastAsia" w:eastAsia="方正仿宋_GBK" w:cs="仿宋"/>
                <w:szCs w:val="21"/>
              </w:rPr>
            </w:pPr>
            <w:r>
              <w:rPr>
                <w:rFonts w:hint="eastAsia" w:eastAsia="方正仿宋_GBK" w:cs="仿宋"/>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widowControl/>
              <w:spacing w:line="240" w:lineRule="exact"/>
              <w:jc w:val="center"/>
              <w:rPr>
                <w:rFonts w:hint="eastAsia" w:eastAsia="方正仿宋_GBK" w:cs="仿宋"/>
                <w:color w:val="000000"/>
                <w:kern w:val="0"/>
                <w:szCs w:val="21"/>
              </w:rPr>
            </w:pPr>
          </w:p>
        </w:tc>
        <w:tc>
          <w:tcPr>
            <w:tcW w:w="1017" w:type="pct"/>
            <w:gridSpan w:val="2"/>
            <w:noWrap w:val="0"/>
            <w:vAlign w:val="center"/>
          </w:tcPr>
          <w:p>
            <w:pPr>
              <w:spacing w:line="240" w:lineRule="exact"/>
              <w:jc w:val="center"/>
              <w:rPr>
                <w:rFonts w:hint="eastAsia" w:eastAsia="方正仿宋_GBK" w:cs="仿宋"/>
                <w:szCs w:val="21"/>
              </w:rPr>
            </w:pPr>
            <w:r>
              <w:rPr>
                <w:rFonts w:hint="eastAsia" w:eastAsia="方正仿宋_GBK" w:cs="仿宋"/>
                <w:color w:val="000000"/>
                <w:kern w:val="0"/>
                <w:szCs w:val="21"/>
              </w:rPr>
              <w:t>年度资金总额</w:t>
            </w:r>
          </w:p>
        </w:tc>
        <w:tc>
          <w:tcPr>
            <w:tcW w:w="626" w:type="pct"/>
            <w:noWrap w:val="0"/>
            <w:vAlign w:val="center"/>
          </w:tcPr>
          <w:p>
            <w:pPr>
              <w:spacing w:line="240" w:lineRule="exact"/>
              <w:jc w:val="center"/>
              <w:rPr>
                <w:rFonts w:hint="default" w:eastAsia="方正仿宋_GBK" w:cs="仿宋"/>
                <w:szCs w:val="21"/>
                <w:lang w:val="en-US"/>
              </w:rPr>
            </w:pPr>
            <w:r>
              <w:rPr>
                <w:rFonts w:hint="eastAsia" w:ascii="仿宋_GB2312" w:eastAsia="仿宋_GB2312"/>
                <w:szCs w:val="21"/>
                <w:lang w:val="en-US" w:eastAsia="zh-CN"/>
              </w:rPr>
              <w:t>432.4</w:t>
            </w:r>
          </w:p>
        </w:tc>
        <w:tc>
          <w:tcPr>
            <w:tcW w:w="649" w:type="pct"/>
            <w:gridSpan w:val="2"/>
            <w:noWrap w:val="0"/>
            <w:vAlign w:val="center"/>
          </w:tcPr>
          <w:p>
            <w:pPr>
              <w:spacing w:line="240" w:lineRule="exact"/>
              <w:jc w:val="center"/>
              <w:rPr>
                <w:rFonts w:hint="default" w:eastAsia="方正仿宋_GBK" w:cs="仿宋"/>
                <w:szCs w:val="21"/>
                <w:lang w:val="en-US"/>
              </w:rPr>
            </w:pPr>
            <w:r>
              <w:rPr>
                <w:rFonts w:hint="eastAsia" w:ascii="仿宋_GB2312" w:eastAsia="仿宋_GB2312"/>
                <w:szCs w:val="21"/>
                <w:lang w:val="en-US" w:eastAsia="zh-CN"/>
              </w:rPr>
              <w:t>419.7</w:t>
            </w:r>
          </w:p>
        </w:tc>
        <w:tc>
          <w:tcPr>
            <w:tcW w:w="641" w:type="pct"/>
            <w:noWrap w:val="0"/>
            <w:vAlign w:val="center"/>
          </w:tcPr>
          <w:p>
            <w:pPr>
              <w:spacing w:line="240" w:lineRule="exact"/>
              <w:jc w:val="center"/>
              <w:rPr>
                <w:rFonts w:hint="default" w:eastAsia="方正仿宋_GBK" w:cs="仿宋"/>
                <w:szCs w:val="21"/>
                <w:lang w:val="en-US" w:eastAsia="zh-CN"/>
              </w:rPr>
            </w:pPr>
            <w:r>
              <w:rPr>
                <w:rFonts w:hint="eastAsia" w:eastAsia="方正仿宋_GBK" w:cs="仿宋"/>
                <w:szCs w:val="21"/>
                <w:lang w:val="en-US" w:eastAsia="zh-CN"/>
              </w:rPr>
              <w:t>392.77</w:t>
            </w:r>
          </w:p>
        </w:tc>
        <w:tc>
          <w:tcPr>
            <w:tcW w:w="355" w:type="pct"/>
            <w:noWrap w:val="0"/>
            <w:vAlign w:val="center"/>
          </w:tcPr>
          <w:p>
            <w:pPr>
              <w:spacing w:line="240" w:lineRule="exact"/>
              <w:jc w:val="center"/>
              <w:rPr>
                <w:rFonts w:hint="eastAsia" w:eastAsia="方正仿宋_GBK" w:cs="仿宋"/>
                <w:szCs w:val="21"/>
              </w:rPr>
            </w:pPr>
            <w:r>
              <w:rPr>
                <w:rFonts w:hint="eastAsia" w:eastAsia="方正仿宋_GBK" w:cs="仿宋"/>
                <w:szCs w:val="21"/>
              </w:rPr>
              <w:t>10</w:t>
            </w:r>
          </w:p>
        </w:tc>
        <w:tc>
          <w:tcPr>
            <w:tcW w:w="494" w:type="pct"/>
            <w:noWrap w:val="0"/>
            <w:vAlign w:val="center"/>
          </w:tcPr>
          <w:p>
            <w:pPr>
              <w:spacing w:line="240" w:lineRule="exact"/>
              <w:jc w:val="center"/>
              <w:rPr>
                <w:rFonts w:hint="default" w:eastAsia="方正仿宋_GBK" w:cs="仿宋"/>
                <w:szCs w:val="21"/>
                <w:lang w:val="en-US" w:eastAsia="zh-CN"/>
              </w:rPr>
            </w:pPr>
            <w:r>
              <w:rPr>
                <w:rFonts w:hint="eastAsia" w:eastAsia="方正仿宋_GBK" w:cs="仿宋"/>
                <w:szCs w:val="21"/>
                <w:lang w:val="en-US" w:eastAsia="zh-CN"/>
              </w:rPr>
              <w:t>93.58%</w:t>
            </w:r>
          </w:p>
        </w:tc>
        <w:tc>
          <w:tcPr>
            <w:tcW w:w="677" w:type="pct"/>
            <w:noWrap w:val="0"/>
            <w:vAlign w:val="center"/>
          </w:tcPr>
          <w:p>
            <w:pPr>
              <w:spacing w:line="240" w:lineRule="exact"/>
              <w:jc w:val="center"/>
              <w:rPr>
                <w:rFonts w:hint="default" w:eastAsia="方正仿宋_GBK" w:cs="仿宋"/>
                <w:szCs w:val="21"/>
                <w:lang w:val="en-US" w:eastAsia="zh-CN"/>
              </w:rPr>
            </w:pPr>
            <w:r>
              <w:rPr>
                <w:rFonts w:hint="eastAsia" w:eastAsia="方正仿宋_GBK" w:cs="仿宋"/>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widowControl/>
              <w:spacing w:line="240" w:lineRule="exact"/>
              <w:jc w:val="left"/>
              <w:rPr>
                <w:rFonts w:hint="eastAsia" w:eastAsia="方正仿宋_GBK" w:cs="仿宋"/>
                <w:color w:val="000000"/>
                <w:kern w:val="0"/>
                <w:szCs w:val="21"/>
              </w:rPr>
            </w:pPr>
          </w:p>
        </w:tc>
        <w:tc>
          <w:tcPr>
            <w:tcW w:w="2293" w:type="pct"/>
            <w:gridSpan w:val="5"/>
            <w:noWrap w:val="0"/>
            <w:vAlign w:val="center"/>
          </w:tcPr>
          <w:p>
            <w:pPr>
              <w:widowControl/>
              <w:spacing w:line="240" w:lineRule="exact"/>
              <w:jc w:val="left"/>
              <w:rPr>
                <w:rFonts w:hint="eastAsia" w:eastAsia="方正仿宋_GBK" w:cs="仿宋"/>
                <w:color w:val="000000"/>
                <w:kern w:val="0"/>
                <w:szCs w:val="21"/>
              </w:rPr>
            </w:pPr>
            <w:r>
              <w:rPr>
                <w:rFonts w:hint="eastAsia" w:eastAsia="方正仿宋_GBK" w:cs="仿宋"/>
                <w:color w:val="000000"/>
                <w:kern w:val="0"/>
                <w:szCs w:val="21"/>
              </w:rPr>
              <w:t>按收入性质分：</w:t>
            </w:r>
          </w:p>
        </w:tc>
        <w:tc>
          <w:tcPr>
            <w:tcW w:w="2168" w:type="pct"/>
            <w:gridSpan w:val="4"/>
            <w:noWrap w:val="0"/>
            <w:vAlign w:val="center"/>
          </w:tcPr>
          <w:p>
            <w:pPr>
              <w:widowControl/>
              <w:spacing w:line="240" w:lineRule="exact"/>
              <w:jc w:val="left"/>
              <w:rPr>
                <w:rFonts w:hint="eastAsia" w:eastAsia="方正仿宋_GBK" w:cs="仿宋"/>
                <w:color w:val="000000"/>
                <w:kern w:val="0"/>
                <w:szCs w:val="21"/>
              </w:rPr>
            </w:pPr>
            <w:r>
              <w:rPr>
                <w:rFonts w:hint="eastAsia" w:eastAsia="方正仿宋_GBK" w:cs="仿宋"/>
                <w:color w:val="000000"/>
                <w:kern w:val="0"/>
                <w:szCs w:val="21"/>
              </w:rPr>
              <w:t>按支出性质分：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widowControl/>
              <w:spacing w:line="240" w:lineRule="exact"/>
              <w:jc w:val="left"/>
              <w:rPr>
                <w:rFonts w:hint="eastAsia" w:eastAsia="方正仿宋_GBK" w:cs="仿宋"/>
                <w:color w:val="000000"/>
                <w:kern w:val="0"/>
                <w:szCs w:val="21"/>
              </w:rPr>
            </w:pPr>
          </w:p>
        </w:tc>
        <w:tc>
          <w:tcPr>
            <w:tcW w:w="2293" w:type="pct"/>
            <w:gridSpan w:val="5"/>
            <w:noWrap w:val="0"/>
            <w:vAlign w:val="center"/>
          </w:tcPr>
          <w:p>
            <w:pPr>
              <w:widowControl/>
              <w:spacing w:line="24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xml:space="preserve">  其中：  一般公共预算：</w:t>
            </w:r>
            <w:r>
              <w:rPr>
                <w:rFonts w:hint="eastAsia" w:eastAsia="方正仿宋_GBK" w:cs="仿宋"/>
                <w:color w:val="000000"/>
                <w:kern w:val="0"/>
                <w:szCs w:val="21"/>
                <w:lang w:val="en-US" w:eastAsia="zh-CN"/>
              </w:rPr>
              <w:t>392.77</w:t>
            </w:r>
          </w:p>
        </w:tc>
        <w:tc>
          <w:tcPr>
            <w:tcW w:w="2168" w:type="pct"/>
            <w:gridSpan w:val="4"/>
            <w:noWrap w:val="0"/>
            <w:vAlign w:val="center"/>
          </w:tcPr>
          <w:p>
            <w:pPr>
              <w:widowControl/>
              <w:spacing w:line="24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其中：基本支出：</w:t>
            </w:r>
            <w:r>
              <w:rPr>
                <w:rFonts w:hint="eastAsia" w:eastAsia="方正仿宋_GBK" w:cs="仿宋"/>
                <w:color w:val="000000"/>
                <w:kern w:val="0"/>
                <w:szCs w:val="21"/>
                <w:lang w:val="en-US" w:eastAsia="zh-CN"/>
              </w:rPr>
              <w:t>228.36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widowControl/>
              <w:spacing w:line="240" w:lineRule="exact"/>
              <w:jc w:val="left"/>
              <w:rPr>
                <w:rFonts w:hint="eastAsia" w:eastAsia="方正仿宋_GBK" w:cs="仿宋"/>
                <w:color w:val="000000"/>
                <w:kern w:val="0"/>
                <w:szCs w:val="21"/>
              </w:rPr>
            </w:pPr>
          </w:p>
        </w:tc>
        <w:tc>
          <w:tcPr>
            <w:tcW w:w="2293" w:type="pct"/>
            <w:gridSpan w:val="5"/>
            <w:noWrap w:val="0"/>
            <w:vAlign w:val="center"/>
          </w:tcPr>
          <w:p>
            <w:pPr>
              <w:widowControl/>
              <w:spacing w:line="24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政府性基金拨款：</w:t>
            </w:r>
            <w:r>
              <w:rPr>
                <w:rFonts w:hint="eastAsia" w:eastAsia="方正仿宋_GBK" w:cs="仿宋"/>
                <w:color w:val="000000"/>
                <w:kern w:val="0"/>
                <w:szCs w:val="21"/>
                <w:lang w:val="en-US" w:eastAsia="zh-CN"/>
              </w:rPr>
              <w:t>0</w:t>
            </w:r>
          </w:p>
        </w:tc>
        <w:tc>
          <w:tcPr>
            <w:tcW w:w="2168" w:type="pct"/>
            <w:gridSpan w:val="4"/>
            <w:noWrap w:val="0"/>
            <w:vAlign w:val="center"/>
          </w:tcPr>
          <w:p>
            <w:pPr>
              <w:widowControl/>
              <w:spacing w:line="24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项目支出：</w:t>
            </w:r>
            <w:r>
              <w:rPr>
                <w:rFonts w:hint="eastAsia" w:eastAsia="方正仿宋_GBK" w:cs="仿宋"/>
                <w:color w:val="000000"/>
                <w:kern w:val="0"/>
                <w:szCs w:val="21"/>
                <w:lang w:val="en-US" w:eastAsia="zh-CN"/>
              </w:rPr>
              <w:t>164.41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widowControl/>
              <w:spacing w:line="240" w:lineRule="exact"/>
              <w:jc w:val="left"/>
              <w:rPr>
                <w:rFonts w:hint="eastAsia" w:eastAsia="方正仿宋_GBK" w:cs="仿宋"/>
                <w:color w:val="000000"/>
                <w:kern w:val="0"/>
                <w:szCs w:val="21"/>
              </w:rPr>
            </w:pPr>
          </w:p>
        </w:tc>
        <w:tc>
          <w:tcPr>
            <w:tcW w:w="2293" w:type="pct"/>
            <w:gridSpan w:val="5"/>
            <w:noWrap w:val="0"/>
            <w:vAlign w:val="center"/>
          </w:tcPr>
          <w:p>
            <w:pPr>
              <w:widowControl/>
              <w:spacing w:line="24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纳入专户管理的非税收入拨款：</w:t>
            </w:r>
            <w:r>
              <w:rPr>
                <w:rFonts w:hint="eastAsia" w:eastAsia="方正仿宋_GBK" w:cs="仿宋"/>
                <w:color w:val="000000"/>
                <w:kern w:val="0"/>
                <w:szCs w:val="21"/>
                <w:lang w:val="en-US" w:eastAsia="zh-CN"/>
              </w:rPr>
              <w:t>0</w:t>
            </w:r>
          </w:p>
        </w:tc>
        <w:tc>
          <w:tcPr>
            <w:tcW w:w="2168" w:type="pct"/>
            <w:gridSpan w:val="4"/>
            <w:noWrap w:val="0"/>
            <w:vAlign w:val="center"/>
          </w:tcPr>
          <w:p>
            <w:pPr>
              <w:widowControl/>
              <w:spacing w:line="24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widowControl/>
              <w:spacing w:line="240" w:lineRule="exact"/>
              <w:jc w:val="left"/>
              <w:rPr>
                <w:rFonts w:hint="eastAsia" w:eastAsia="方正仿宋_GBK" w:cs="仿宋"/>
                <w:color w:val="000000"/>
                <w:kern w:val="0"/>
                <w:szCs w:val="21"/>
              </w:rPr>
            </w:pPr>
          </w:p>
        </w:tc>
        <w:tc>
          <w:tcPr>
            <w:tcW w:w="2293" w:type="pct"/>
            <w:gridSpan w:val="5"/>
            <w:noWrap w:val="0"/>
            <w:vAlign w:val="center"/>
          </w:tcPr>
          <w:p>
            <w:pPr>
              <w:widowControl/>
              <w:spacing w:line="24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其他资金：</w:t>
            </w:r>
            <w:r>
              <w:rPr>
                <w:rFonts w:hint="eastAsia" w:eastAsia="方正仿宋_GBK" w:cs="仿宋"/>
                <w:color w:val="000000"/>
                <w:kern w:val="0"/>
                <w:szCs w:val="21"/>
                <w:lang w:val="en-US" w:eastAsia="zh-CN"/>
              </w:rPr>
              <w:t>0</w:t>
            </w:r>
          </w:p>
        </w:tc>
        <w:tc>
          <w:tcPr>
            <w:tcW w:w="2168" w:type="pct"/>
            <w:gridSpan w:val="4"/>
            <w:noWrap w:val="0"/>
            <w:vAlign w:val="center"/>
          </w:tcPr>
          <w:p>
            <w:pPr>
              <w:widowControl/>
              <w:spacing w:line="24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年度总体目标</w:t>
            </w:r>
          </w:p>
        </w:tc>
        <w:tc>
          <w:tcPr>
            <w:tcW w:w="2293" w:type="pct"/>
            <w:gridSpan w:val="5"/>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预期目标</w:t>
            </w:r>
          </w:p>
        </w:tc>
        <w:tc>
          <w:tcPr>
            <w:tcW w:w="2168" w:type="pct"/>
            <w:gridSpan w:val="4"/>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实际完成情况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widowControl/>
              <w:spacing w:line="240" w:lineRule="exact"/>
              <w:jc w:val="left"/>
              <w:rPr>
                <w:rFonts w:hint="eastAsia" w:eastAsia="方正仿宋_GBK" w:cs="仿宋"/>
                <w:color w:val="000000"/>
                <w:kern w:val="0"/>
                <w:szCs w:val="21"/>
              </w:rPr>
            </w:pPr>
          </w:p>
        </w:tc>
        <w:tc>
          <w:tcPr>
            <w:tcW w:w="2293" w:type="pct"/>
            <w:gridSpan w:val="5"/>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　　</w:t>
            </w:r>
          </w:p>
        </w:tc>
        <w:tc>
          <w:tcPr>
            <w:tcW w:w="2168" w:type="pct"/>
            <w:gridSpan w:val="4"/>
            <w:noWrap w:val="0"/>
            <w:vAlign w:val="center"/>
          </w:tcPr>
          <w:p>
            <w:pPr>
              <w:widowControl/>
              <w:spacing w:line="24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绩效</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540"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一级指标</w:t>
            </w:r>
          </w:p>
        </w:tc>
        <w:tc>
          <w:tcPr>
            <w:tcW w:w="477"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二级</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675" w:type="pct"/>
            <w:gridSpan w:val="2"/>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三级指标</w:t>
            </w:r>
          </w:p>
        </w:tc>
        <w:tc>
          <w:tcPr>
            <w:tcW w:w="600"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年度</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指标值</w:t>
            </w:r>
          </w:p>
        </w:tc>
        <w:tc>
          <w:tcPr>
            <w:tcW w:w="641" w:type="pct"/>
            <w:noWrap w:val="0"/>
            <w:vAlign w:val="center"/>
          </w:tcPr>
          <w:p>
            <w:pPr>
              <w:widowControl/>
              <w:spacing w:line="240" w:lineRule="exact"/>
              <w:rPr>
                <w:rFonts w:hint="eastAsia" w:eastAsia="方正仿宋_GBK" w:cs="仿宋"/>
                <w:color w:val="000000"/>
                <w:kern w:val="0"/>
                <w:szCs w:val="21"/>
              </w:rPr>
            </w:pPr>
            <w:r>
              <w:rPr>
                <w:rFonts w:hint="eastAsia" w:eastAsia="方正仿宋_GBK" w:cs="仿宋"/>
                <w:color w:val="000000"/>
                <w:kern w:val="0"/>
                <w:szCs w:val="21"/>
              </w:rPr>
              <w:t>实际完成值</w:t>
            </w:r>
          </w:p>
        </w:tc>
        <w:tc>
          <w:tcPr>
            <w:tcW w:w="355"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分值</w:t>
            </w:r>
          </w:p>
        </w:tc>
        <w:tc>
          <w:tcPr>
            <w:tcW w:w="494"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得分</w:t>
            </w:r>
          </w:p>
        </w:tc>
        <w:tc>
          <w:tcPr>
            <w:tcW w:w="677"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偏差原因</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分析及</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50"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产出指标</w:t>
            </w:r>
          </w:p>
          <w:p>
            <w:pPr>
              <w:widowControl/>
              <w:spacing w:line="240" w:lineRule="exact"/>
              <w:jc w:val="center"/>
              <w:rPr>
                <w:rFonts w:hint="eastAsia" w:eastAsia="方正仿宋_GBK" w:cs="仿宋"/>
                <w:color w:val="000000"/>
                <w:kern w:val="0"/>
                <w:szCs w:val="21"/>
              </w:rPr>
            </w:pP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(50分)</w:t>
            </w:r>
          </w:p>
        </w:tc>
        <w:tc>
          <w:tcPr>
            <w:tcW w:w="477"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数量</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675" w:type="pct"/>
            <w:gridSpan w:val="2"/>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企业申报许可审查完成率及证后监督检查完成率</w:t>
            </w:r>
          </w:p>
        </w:tc>
        <w:tc>
          <w:tcPr>
            <w:tcW w:w="600" w:type="pct"/>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100%</w:t>
            </w:r>
          </w:p>
        </w:tc>
        <w:tc>
          <w:tcPr>
            <w:tcW w:w="641" w:type="pct"/>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100%</w:t>
            </w:r>
          </w:p>
        </w:tc>
        <w:tc>
          <w:tcPr>
            <w:tcW w:w="355"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20</w:t>
            </w:r>
          </w:p>
        </w:tc>
        <w:tc>
          <w:tcPr>
            <w:tcW w:w="494"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20</w:t>
            </w:r>
          </w:p>
        </w:tc>
        <w:tc>
          <w:tcPr>
            <w:tcW w:w="677" w:type="pct"/>
            <w:noWrap w:val="0"/>
            <w:vAlign w:val="center"/>
          </w:tcPr>
          <w:p>
            <w:pPr>
              <w:widowControl/>
              <w:spacing w:line="24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0"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vMerge w:val="continue"/>
            <w:noWrap w:val="0"/>
            <w:vAlign w:val="center"/>
          </w:tcPr>
          <w:p>
            <w:pPr>
              <w:spacing w:line="240" w:lineRule="exact"/>
              <w:jc w:val="left"/>
              <w:rPr>
                <w:rFonts w:hint="eastAsia" w:eastAsia="方正仿宋_GBK" w:cs="仿宋"/>
                <w:color w:val="000000"/>
                <w:kern w:val="0"/>
                <w:szCs w:val="21"/>
              </w:rPr>
            </w:pPr>
          </w:p>
        </w:tc>
        <w:tc>
          <w:tcPr>
            <w:tcW w:w="477"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质量</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675" w:type="pct"/>
            <w:gridSpan w:val="2"/>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许可审查及证后监督检查相关文件质量要求</w:t>
            </w:r>
          </w:p>
        </w:tc>
        <w:tc>
          <w:tcPr>
            <w:tcW w:w="600" w:type="pct"/>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按文件要求质量完成</w:t>
            </w:r>
          </w:p>
        </w:tc>
        <w:tc>
          <w:tcPr>
            <w:tcW w:w="641" w:type="pct"/>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按文件要求质量完成</w:t>
            </w:r>
          </w:p>
        </w:tc>
        <w:tc>
          <w:tcPr>
            <w:tcW w:w="355"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w:t>
            </w:r>
          </w:p>
        </w:tc>
        <w:tc>
          <w:tcPr>
            <w:tcW w:w="494"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w:t>
            </w:r>
          </w:p>
        </w:tc>
        <w:tc>
          <w:tcPr>
            <w:tcW w:w="677" w:type="pct"/>
            <w:noWrap w:val="0"/>
            <w:vAlign w:val="center"/>
          </w:tcPr>
          <w:p>
            <w:pPr>
              <w:widowControl/>
              <w:spacing w:line="24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0"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vMerge w:val="continue"/>
            <w:noWrap w:val="0"/>
            <w:vAlign w:val="center"/>
          </w:tcPr>
          <w:p>
            <w:pPr>
              <w:spacing w:line="240" w:lineRule="exact"/>
              <w:jc w:val="left"/>
              <w:rPr>
                <w:rFonts w:hint="eastAsia" w:eastAsia="方正仿宋_GBK" w:cs="仿宋"/>
                <w:color w:val="000000"/>
                <w:kern w:val="0"/>
                <w:szCs w:val="21"/>
              </w:rPr>
            </w:pPr>
          </w:p>
        </w:tc>
        <w:tc>
          <w:tcPr>
            <w:tcW w:w="477"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时效</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675" w:type="pct"/>
            <w:gridSpan w:val="2"/>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许可审查及证后监督检查相关文件时限要求</w:t>
            </w:r>
          </w:p>
        </w:tc>
        <w:tc>
          <w:tcPr>
            <w:tcW w:w="600" w:type="pct"/>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按文件要求时限完成</w:t>
            </w:r>
          </w:p>
        </w:tc>
        <w:tc>
          <w:tcPr>
            <w:tcW w:w="641" w:type="pct"/>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按文件要求时限完成</w:t>
            </w:r>
          </w:p>
        </w:tc>
        <w:tc>
          <w:tcPr>
            <w:tcW w:w="355"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w:t>
            </w:r>
          </w:p>
        </w:tc>
        <w:tc>
          <w:tcPr>
            <w:tcW w:w="494"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w:t>
            </w:r>
          </w:p>
        </w:tc>
        <w:tc>
          <w:tcPr>
            <w:tcW w:w="677" w:type="pct"/>
            <w:noWrap w:val="0"/>
            <w:vAlign w:val="center"/>
          </w:tcPr>
          <w:p>
            <w:pPr>
              <w:widowControl/>
              <w:spacing w:line="24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90"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vMerge w:val="continue"/>
            <w:noWrap w:val="0"/>
            <w:vAlign w:val="center"/>
          </w:tcPr>
          <w:p>
            <w:pPr>
              <w:spacing w:line="240" w:lineRule="exact"/>
              <w:jc w:val="left"/>
              <w:rPr>
                <w:rFonts w:hint="eastAsia" w:eastAsia="方正仿宋_GBK" w:cs="仿宋"/>
                <w:color w:val="000000"/>
                <w:kern w:val="0"/>
                <w:szCs w:val="21"/>
              </w:rPr>
            </w:pPr>
          </w:p>
        </w:tc>
        <w:tc>
          <w:tcPr>
            <w:tcW w:w="477"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成本</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675" w:type="pct"/>
            <w:gridSpan w:val="2"/>
            <w:noWrap w:val="0"/>
            <w:vAlign w:val="center"/>
          </w:tcPr>
          <w:p>
            <w:pPr>
              <w:widowControl/>
              <w:spacing w:line="240" w:lineRule="exact"/>
              <w:jc w:val="left"/>
              <w:rPr>
                <w:rFonts w:hint="eastAsia" w:eastAsia="方正仿宋_GBK" w:cs="仿宋"/>
                <w:color w:val="000000"/>
                <w:kern w:val="0"/>
                <w:szCs w:val="21"/>
              </w:rPr>
            </w:pPr>
            <w:r>
              <w:rPr>
                <w:rFonts w:hint="eastAsia" w:ascii="方正仿宋简体" w:eastAsia="方正仿宋简体"/>
                <w:sz w:val="13"/>
                <w:szCs w:val="13"/>
              </w:rPr>
              <w:t>按照《湖南省省直机关培训费管理办法》（湘财行[2017]7号，《湖南省省直机关差旅费管理办法》（湘财行[2018]67号，《湖南省政府采购项目评审劳务费报酬管理办法》（湘财购[2017]9号严控支出成本。</w:t>
            </w:r>
          </w:p>
        </w:tc>
        <w:tc>
          <w:tcPr>
            <w:tcW w:w="600"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按文件要求严控成本</w:t>
            </w:r>
          </w:p>
        </w:tc>
        <w:tc>
          <w:tcPr>
            <w:tcW w:w="64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按文件要求严控成本</w:t>
            </w:r>
          </w:p>
        </w:tc>
        <w:tc>
          <w:tcPr>
            <w:tcW w:w="355"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w:t>
            </w:r>
          </w:p>
        </w:tc>
        <w:tc>
          <w:tcPr>
            <w:tcW w:w="494"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w:t>
            </w:r>
          </w:p>
        </w:tc>
        <w:tc>
          <w:tcPr>
            <w:tcW w:w="677" w:type="pct"/>
            <w:noWrap w:val="0"/>
            <w:vAlign w:val="center"/>
          </w:tcPr>
          <w:p>
            <w:pPr>
              <w:widowControl/>
              <w:spacing w:line="24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vMerge w:val="restart"/>
            <w:noWrap w:val="0"/>
            <w:vAlign w:val="center"/>
          </w:tcPr>
          <w:p>
            <w:pPr>
              <w:widowControl/>
              <w:spacing w:line="240" w:lineRule="exact"/>
              <w:jc w:val="left"/>
              <w:rPr>
                <w:rFonts w:hint="eastAsia" w:eastAsia="方正仿宋_GBK" w:cs="仿宋"/>
                <w:color w:val="000000"/>
                <w:kern w:val="0"/>
                <w:szCs w:val="21"/>
              </w:rPr>
            </w:pPr>
            <w:r>
              <w:rPr>
                <w:rFonts w:hint="eastAsia" w:eastAsia="方正仿宋_GBK" w:cs="仿宋"/>
                <w:color w:val="000000"/>
                <w:kern w:val="0"/>
                <w:szCs w:val="21"/>
              </w:rPr>
              <w:t>效益指标</w:t>
            </w:r>
          </w:p>
          <w:p>
            <w:pPr>
              <w:widowControl/>
              <w:spacing w:line="240" w:lineRule="exact"/>
              <w:jc w:val="left"/>
              <w:rPr>
                <w:rFonts w:hint="eastAsia" w:eastAsia="方正仿宋_GBK" w:cs="仿宋"/>
                <w:color w:val="000000"/>
                <w:kern w:val="0"/>
                <w:szCs w:val="21"/>
              </w:rPr>
            </w:pPr>
          </w:p>
          <w:p>
            <w:pPr>
              <w:widowControl/>
              <w:spacing w:line="240" w:lineRule="exact"/>
              <w:jc w:val="left"/>
              <w:rPr>
                <w:rFonts w:hint="eastAsia" w:eastAsia="方正仿宋_GBK" w:cs="仿宋"/>
                <w:color w:val="000000"/>
                <w:kern w:val="0"/>
                <w:szCs w:val="21"/>
              </w:rPr>
            </w:pPr>
            <w:r>
              <w:rPr>
                <w:rFonts w:hint="eastAsia" w:eastAsia="方正仿宋_GBK" w:cs="仿宋"/>
                <w:color w:val="000000"/>
                <w:kern w:val="0"/>
                <w:szCs w:val="21"/>
              </w:rPr>
              <w:t>（30分）</w:t>
            </w:r>
          </w:p>
        </w:tc>
        <w:tc>
          <w:tcPr>
            <w:tcW w:w="477"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经济效</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675" w:type="pct"/>
            <w:gridSpan w:val="2"/>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不适用</w:t>
            </w:r>
          </w:p>
        </w:tc>
        <w:tc>
          <w:tcPr>
            <w:tcW w:w="600" w:type="pct"/>
            <w:noWrap w:val="0"/>
            <w:vAlign w:val="center"/>
          </w:tcPr>
          <w:p>
            <w:pPr>
              <w:widowControl/>
              <w:spacing w:line="240" w:lineRule="exact"/>
              <w:jc w:val="center"/>
              <w:rPr>
                <w:rFonts w:hint="eastAsia" w:eastAsia="方正仿宋_GBK" w:cs="仿宋"/>
                <w:color w:val="000000"/>
                <w:kern w:val="0"/>
                <w:szCs w:val="21"/>
              </w:rPr>
            </w:pPr>
          </w:p>
        </w:tc>
        <w:tc>
          <w:tcPr>
            <w:tcW w:w="641" w:type="pct"/>
            <w:noWrap w:val="0"/>
            <w:vAlign w:val="center"/>
          </w:tcPr>
          <w:p>
            <w:pPr>
              <w:widowControl/>
              <w:spacing w:line="240" w:lineRule="exact"/>
              <w:jc w:val="center"/>
              <w:rPr>
                <w:rFonts w:hint="eastAsia" w:eastAsia="方正仿宋_GBK" w:cs="仿宋"/>
                <w:color w:val="000000"/>
                <w:kern w:val="0"/>
                <w:szCs w:val="21"/>
              </w:rPr>
            </w:pPr>
          </w:p>
        </w:tc>
        <w:tc>
          <w:tcPr>
            <w:tcW w:w="355" w:type="pct"/>
            <w:noWrap w:val="0"/>
            <w:vAlign w:val="center"/>
          </w:tcPr>
          <w:p>
            <w:pPr>
              <w:widowControl/>
              <w:spacing w:line="240" w:lineRule="exact"/>
              <w:jc w:val="center"/>
              <w:rPr>
                <w:rFonts w:hint="eastAsia" w:eastAsia="方正仿宋_GBK" w:cs="仿宋"/>
                <w:color w:val="000000"/>
                <w:kern w:val="0"/>
                <w:szCs w:val="21"/>
              </w:rPr>
            </w:pPr>
          </w:p>
        </w:tc>
        <w:tc>
          <w:tcPr>
            <w:tcW w:w="494" w:type="pct"/>
            <w:noWrap w:val="0"/>
            <w:vAlign w:val="center"/>
          </w:tcPr>
          <w:p>
            <w:pPr>
              <w:widowControl/>
              <w:spacing w:line="240" w:lineRule="exact"/>
              <w:jc w:val="center"/>
              <w:rPr>
                <w:rFonts w:hint="eastAsia" w:eastAsia="方正仿宋_GBK" w:cs="仿宋"/>
                <w:color w:val="000000"/>
                <w:kern w:val="0"/>
                <w:szCs w:val="21"/>
              </w:rPr>
            </w:pPr>
          </w:p>
        </w:tc>
        <w:tc>
          <w:tcPr>
            <w:tcW w:w="677" w:type="pct"/>
            <w:noWrap w:val="0"/>
            <w:vAlign w:val="center"/>
          </w:tcPr>
          <w:p>
            <w:pPr>
              <w:widowControl/>
              <w:spacing w:line="24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vMerge w:val="continue"/>
            <w:noWrap w:val="0"/>
            <w:vAlign w:val="center"/>
          </w:tcPr>
          <w:p>
            <w:pPr>
              <w:spacing w:line="240" w:lineRule="exact"/>
              <w:jc w:val="left"/>
              <w:rPr>
                <w:rFonts w:hint="eastAsia" w:eastAsia="方正仿宋_GBK" w:cs="仿宋"/>
                <w:color w:val="000000"/>
                <w:kern w:val="0"/>
                <w:szCs w:val="21"/>
              </w:rPr>
            </w:pPr>
          </w:p>
        </w:tc>
        <w:tc>
          <w:tcPr>
            <w:tcW w:w="477"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社会效</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675" w:type="pct"/>
            <w:gridSpan w:val="2"/>
            <w:noWrap w:val="0"/>
            <w:vAlign w:val="center"/>
          </w:tcPr>
          <w:p>
            <w:pPr>
              <w:widowControl/>
              <w:spacing w:line="240" w:lineRule="exact"/>
              <w:jc w:val="left"/>
              <w:rPr>
                <w:rFonts w:hint="eastAsia" w:eastAsia="方正仿宋_GBK" w:cs="仿宋"/>
                <w:color w:val="000000"/>
                <w:kern w:val="0"/>
                <w:szCs w:val="21"/>
              </w:rPr>
            </w:pPr>
            <w:r>
              <w:rPr>
                <w:rFonts w:hint="eastAsia" w:ascii="方正仿宋简体" w:eastAsia="方正仿宋简体"/>
                <w:w w:val="95"/>
                <w:sz w:val="15"/>
                <w:szCs w:val="15"/>
              </w:rPr>
              <w:t>督促企业落实质量安全主体责任，推动行业质量安全控制水平的提升。</w:t>
            </w:r>
          </w:p>
        </w:tc>
        <w:tc>
          <w:tcPr>
            <w:tcW w:w="600" w:type="pct"/>
            <w:noWrap w:val="0"/>
            <w:vAlign w:val="center"/>
          </w:tcPr>
          <w:p>
            <w:pPr>
              <w:adjustRightInd w:val="0"/>
              <w:snapToGrid w:val="0"/>
              <w:spacing w:line="240" w:lineRule="exact"/>
              <w:rPr>
                <w:rFonts w:hint="eastAsia" w:eastAsia="方正仿宋_GBK" w:cs="仿宋"/>
                <w:color w:val="000000"/>
                <w:kern w:val="0"/>
                <w:szCs w:val="21"/>
              </w:rPr>
            </w:pPr>
            <w:r>
              <w:rPr>
                <w:rFonts w:hint="eastAsia" w:ascii="仿宋_GB2312" w:hAnsi="宋体" w:eastAsia="仿宋_GB2312" w:cs="宋体"/>
                <w:color w:val="000000"/>
                <w:kern w:val="0"/>
                <w:sz w:val="18"/>
                <w:szCs w:val="18"/>
              </w:rPr>
              <w:t>　达到该社会效益</w:t>
            </w:r>
          </w:p>
        </w:tc>
        <w:tc>
          <w:tcPr>
            <w:tcW w:w="64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达到该社会效益</w:t>
            </w:r>
          </w:p>
        </w:tc>
        <w:tc>
          <w:tcPr>
            <w:tcW w:w="355"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30</w:t>
            </w:r>
          </w:p>
        </w:tc>
        <w:tc>
          <w:tcPr>
            <w:tcW w:w="494"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30</w:t>
            </w:r>
          </w:p>
        </w:tc>
        <w:tc>
          <w:tcPr>
            <w:tcW w:w="677"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vMerge w:val="continue"/>
            <w:noWrap w:val="0"/>
            <w:vAlign w:val="center"/>
          </w:tcPr>
          <w:p>
            <w:pPr>
              <w:spacing w:line="240" w:lineRule="exact"/>
              <w:jc w:val="left"/>
              <w:rPr>
                <w:rFonts w:hint="eastAsia" w:eastAsia="方正仿宋_GBK" w:cs="仿宋"/>
                <w:color w:val="000000"/>
                <w:kern w:val="0"/>
                <w:szCs w:val="21"/>
              </w:rPr>
            </w:pPr>
          </w:p>
        </w:tc>
        <w:tc>
          <w:tcPr>
            <w:tcW w:w="477"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生态效</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675" w:type="pct"/>
            <w:gridSpan w:val="2"/>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不适用</w:t>
            </w:r>
          </w:p>
        </w:tc>
        <w:tc>
          <w:tcPr>
            <w:tcW w:w="600" w:type="pct"/>
            <w:noWrap w:val="0"/>
            <w:vAlign w:val="center"/>
          </w:tcPr>
          <w:p>
            <w:pPr>
              <w:widowControl/>
              <w:spacing w:line="240" w:lineRule="exact"/>
              <w:jc w:val="center"/>
              <w:rPr>
                <w:rFonts w:hint="eastAsia" w:eastAsia="方正仿宋_GBK" w:cs="仿宋"/>
                <w:color w:val="000000"/>
                <w:kern w:val="0"/>
                <w:szCs w:val="21"/>
              </w:rPr>
            </w:pPr>
          </w:p>
        </w:tc>
        <w:tc>
          <w:tcPr>
            <w:tcW w:w="641" w:type="pct"/>
            <w:noWrap w:val="0"/>
            <w:vAlign w:val="center"/>
          </w:tcPr>
          <w:p>
            <w:pPr>
              <w:widowControl/>
              <w:spacing w:line="240" w:lineRule="exact"/>
              <w:jc w:val="center"/>
              <w:rPr>
                <w:rFonts w:hint="eastAsia" w:eastAsia="方正仿宋_GBK" w:cs="仿宋"/>
                <w:color w:val="000000"/>
                <w:kern w:val="0"/>
                <w:szCs w:val="21"/>
              </w:rPr>
            </w:pPr>
          </w:p>
        </w:tc>
        <w:tc>
          <w:tcPr>
            <w:tcW w:w="355" w:type="pct"/>
            <w:noWrap w:val="0"/>
            <w:vAlign w:val="center"/>
          </w:tcPr>
          <w:p>
            <w:pPr>
              <w:widowControl/>
              <w:spacing w:line="240" w:lineRule="exact"/>
              <w:jc w:val="center"/>
              <w:rPr>
                <w:rFonts w:hint="eastAsia" w:eastAsia="方正仿宋_GBK" w:cs="仿宋"/>
                <w:color w:val="000000"/>
                <w:kern w:val="0"/>
                <w:szCs w:val="21"/>
              </w:rPr>
            </w:pPr>
          </w:p>
        </w:tc>
        <w:tc>
          <w:tcPr>
            <w:tcW w:w="494" w:type="pct"/>
            <w:noWrap w:val="0"/>
            <w:vAlign w:val="center"/>
          </w:tcPr>
          <w:p>
            <w:pPr>
              <w:widowControl/>
              <w:spacing w:line="240" w:lineRule="exact"/>
              <w:jc w:val="center"/>
              <w:rPr>
                <w:rFonts w:hint="eastAsia" w:eastAsia="方正仿宋_GBK" w:cs="仿宋"/>
                <w:color w:val="000000"/>
                <w:kern w:val="0"/>
                <w:szCs w:val="21"/>
              </w:rPr>
            </w:pPr>
          </w:p>
        </w:tc>
        <w:tc>
          <w:tcPr>
            <w:tcW w:w="677" w:type="pct"/>
            <w:noWrap w:val="0"/>
            <w:vAlign w:val="center"/>
          </w:tcPr>
          <w:p>
            <w:pPr>
              <w:widowControl/>
              <w:spacing w:line="24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绩效</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540" w:type="pct"/>
            <w:noWrap w:val="0"/>
            <w:vAlign w:val="center"/>
          </w:tcPr>
          <w:p>
            <w:pPr>
              <w:widowControl/>
              <w:spacing w:line="24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77"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可持续影响指标</w:t>
            </w:r>
          </w:p>
        </w:tc>
        <w:tc>
          <w:tcPr>
            <w:tcW w:w="675" w:type="pct"/>
            <w:gridSpan w:val="2"/>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不适用</w:t>
            </w:r>
          </w:p>
        </w:tc>
        <w:tc>
          <w:tcPr>
            <w:tcW w:w="600" w:type="pct"/>
            <w:noWrap w:val="0"/>
            <w:vAlign w:val="center"/>
          </w:tcPr>
          <w:p>
            <w:pPr>
              <w:widowControl/>
              <w:spacing w:line="240" w:lineRule="exact"/>
              <w:jc w:val="center"/>
              <w:rPr>
                <w:rFonts w:hint="eastAsia" w:eastAsia="方正仿宋_GBK" w:cs="仿宋"/>
                <w:color w:val="000000"/>
                <w:kern w:val="0"/>
                <w:szCs w:val="21"/>
              </w:rPr>
            </w:pPr>
          </w:p>
        </w:tc>
        <w:tc>
          <w:tcPr>
            <w:tcW w:w="641" w:type="pct"/>
            <w:noWrap w:val="0"/>
            <w:vAlign w:val="center"/>
          </w:tcPr>
          <w:p>
            <w:pPr>
              <w:widowControl/>
              <w:spacing w:line="240" w:lineRule="exact"/>
              <w:jc w:val="center"/>
              <w:rPr>
                <w:rFonts w:hint="eastAsia" w:eastAsia="方正仿宋_GBK" w:cs="仿宋"/>
                <w:color w:val="000000"/>
                <w:kern w:val="0"/>
                <w:szCs w:val="21"/>
              </w:rPr>
            </w:pPr>
          </w:p>
        </w:tc>
        <w:tc>
          <w:tcPr>
            <w:tcW w:w="355" w:type="pct"/>
            <w:noWrap w:val="0"/>
            <w:vAlign w:val="center"/>
          </w:tcPr>
          <w:p>
            <w:pPr>
              <w:widowControl/>
              <w:spacing w:line="240" w:lineRule="exact"/>
              <w:jc w:val="center"/>
              <w:rPr>
                <w:rFonts w:hint="eastAsia" w:eastAsia="方正仿宋_GBK" w:cs="仿宋"/>
                <w:color w:val="000000"/>
                <w:kern w:val="0"/>
                <w:szCs w:val="21"/>
              </w:rPr>
            </w:pPr>
          </w:p>
        </w:tc>
        <w:tc>
          <w:tcPr>
            <w:tcW w:w="494" w:type="pct"/>
            <w:noWrap w:val="0"/>
            <w:vAlign w:val="center"/>
          </w:tcPr>
          <w:p>
            <w:pPr>
              <w:widowControl/>
              <w:spacing w:line="240" w:lineRule="exact"/>
              <w:jc w:val="center"/>
              <w:rPr>
                <w:rFonts w:hint="eastAsia" w:eastAsia="方正仿宋_GBK" w:cs="仿宋"/>
                <w:color w:val="000000"/>
                <w:kern w:val="0"/>
                <w:szCs w:val="21"/>
              </w:rPr>
            </w:pPr>
          </w:p>
        </w:tc>
        <w:tc>
          <w:tcPr>
            <w:tcW w:w="677" w:type="pct"/>
            <w:noWrap w:val="0"/>
            <w:vAlign w:val="center"/>
          </w:tcPr>
          <w:p>
            <w:pPr>
              <w:widowControl/>
              <w:spacing w:line="24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满意度</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（10分）</w:t>
            </w:r>
          </w:p>
        </w:tc>
        <w:tc>
          <w:tcPr>
            <w:tcW w:w="477"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服务对象满意度指标</w:t>
            </w:r>
          </w:p>
        </w:tc>
        <w:tc>
          <w:tcPr>
            <w:tcW w:w="1217" w:type="dxa"/>
            <w:gridSpan w:val="2"/>
            <w:noWrap w:val="0"/>
            <w:vAlign w:val="center"/>
          </w:tcPr>
          <w:p>
            <w:pPr>
              <w:widowControl/>
              <w:jc w:val="left"/>
              <w:rPr>
                <w:rFonts w:hint="eastAsia" w:eastAsia="方正仿宋_GBK" w:cs="仿宋"/>
                <w:color w:val="000000"/>
                <w:kern w:val="0"/>
                <w:szCs w:val="21"/>
              </w:rPr>
            </w:pPr>
            <w:r>
              <w:rPr>
                <w:rFonts w:hint="eastAsia" w:ascii="方正仿宋简体" w:eastAsia="方正仿宋简体"/>
                <w:sz w:val="15"/>
                <w:szCs w:val="15"/>
              </w:rPr>
              <w:t>全年企业有效投诉</w:t>
            </w:r>
          </w:p>
        </w:tc>
        <w:tc>
          <w:tcPr>
            <w:tcW w:w="1083"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0</w:t>
            </w:r>
          </w:p>
        </w:tc>
        <w:tc>
          <w:tcPr>
            <w:tcW w:w="1157"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0</w:t>
            </w:r>
          </w:p>
        </w:tc>
        <w:tc>
          <w:tcPr>
            <w:tcW w:w="64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w:t>
            </w:r>
          </w:p>
        </w:tc>
        <w:tc>
          <w:tcPr>
            <w:tcW w:w="891"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w:t>
            </w:r>
          </w:p>
        </w:tc>
        <w:tc>
          <w:tcPr>
            <w:tcW w:w="1222" w:type="dxa"/>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3472" w:type="pct"/>
            <w:gridSpan w:val="7"/>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总分</w:t>
            </w:r>
          </w:p>
        </w:tc>
        <w:tc>
          <w:tcPr>
            <w:tcW w:w="355"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100</w:t>
            </w:r>
          </w:p>
        </w:tc>
        <w:tc>
          <w:tcPr>
            <w:tcW w:w="494" w:type="pct"/>
            <w:noWrap w:val="0"/>
            <w:vAlign w:val="center"/>
          </w:tcPr>
          <w:p>
            <w:pPr>
              <w:widowControl/>
              <w:spacing w:line="24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100</w:t>
            </w:r>
          </w:p>
        </w:tc>
        <w:tc>
          <w:tcPr>
            <w:tcW w:w="677" w:type="pct"/>
            <w:noWrap w:val="0"/>
            <w:vAlign w:val="center"/>
          </w:tcPr>
          <w:p>
            <w:pPr>
              <w:widowControl/>
              <w:spacing w:line="24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100</w:t>
            </w:r>
          </w:p>
        </w:tc>
      </w:tr>
    </w:tbl>
    <w:p>
      <w:pPr>
        <w:widowControl/>
        <w:spacing w:after="156" w:afterLines="50"/>
        <w:jc w:val="left"/>
        <w:outlineLvl w:val="0"/>
        <w:rPr>
          <w:rFonts w:eastAsia="方正黑体_GBK"/>
          <w:sz w:val="32"/>
          <w:szCs w:val="32"/>
        </w:rPr>
      </w:pPr>
      <w:r>
        <w:rPr>
          <w:rFonts w:hint="eastAsia" w:ascii="微软雅黑" w:hAnsi="微软雅黑" w:eastAsia="微软雅黑" w:cs="微软雅黑"/>
          <w:kern w:val="0"/>
          <w:szCs w:val="21"/>
        </w:rPr>
        <w:t>填表人：</w:t>
      </w:r>
      <w:r>
        <w:rPr>
          <w:rFonts w:hint="eastAsia" w:ascii="微软雅黑" w:hAnsi="微软雅黑" w:eastAsia="微软雅黑" w:cs="微软雅黑"/>
          <w:kern w:val="0"/>
          <w:szCs w:val="21"/>
          <w:lang w:val="en-US" w:eastAsia="zh-CN"/>
        </w:rPr>
        <w:t>杨泓</w:t>
      </w:r>
      <w:r>
        <w:rPr>
          <w:rFonts w:hint="eastAsia" w:ascii="微软雅黑" w:hAnsi="微软雅黑" w:eastAsia="微软雅黑" w:cs="微软雅黑"/>
          <w:kern w:val="0"/>
          <w:szCs w:val="21"/>
        </w:rPr>
        <w:t xml:space="preserve">  填报日期：</w:t>
      </w:r>
      <w:r>
        <w:rPr>
          <w:rFonts w:hint="eastAsia" w:ascii="微软雅黑" w:hAnsi="微软雅黑" w:eastAsia="微软雅黑" w:cs="微软雅黑"/>
          <w:kern w:val="0"/>
          <w:szCs w:val="21"/>
          <w:lang w:val="en-US" w:eastAsia="zh-CN"/>
        </w:rPr>
        <w:t>2022.4.29</w:t>
      </w:r>
      <w:r>
        <w:rPr>
          <w:rFonts w:hint="eastAsia" w:ascii="微软雅黑" w:hAnsi="微软雅黑" w:eastAsia="微软雅黑" w:cs="微软雅黑"/>
          <w:kern w:val="0"/>
          <w:szCs w:val="21"/>
        </w:rPr>
        <w:t xml:space="preserve">     联系电话：</w:t>
      </w:r>
      <w:r>
        <w:rPr>
          <w:rFonts w:hint="eastAsia" w:ascii="微软雅黑" w:hAnsi="微软雅黑" w:eastAsia="微软雅黑" w:cs="微软雅黑"/>
          <w:kern w:val="0"/>
          <w:szCs w:val="21"/>
          <w:lang w:val="en-US" w:eastAsia="zh-CN"/>
        </w:rPr>
        <w:t>0731-85693711</w:t>
      </w:r>
      <w:r>
        <w:rPr>
          <w:rFonts w:hint="eastAsia" w:ascii="微软雅黑" w:hAnsi="微软雅黑" w:eastAsia="微软雅黑" w:cs="微软雅黑"/>
          <w:kern w:val="0"/>
          <w:szCs w:val="21"/>
        </w:rPr>
        <w:t xml:space="preserve">  单位负责人签字：</w:t>
      </w:r>
      <w:r>
        <w:rPr>
          <w:rFonts w:eastAsia="仿宋_GB2312"/>
          <w:kern w:val="0"/>
          <w:szCs w:val="21"/>
        </w:rPr>
        <w:br w:type="page"/>
      </w:r>
      <w:r>
        <w:rPr>
          <w:rFonts w:hint="eastAsia" w:eastAsia="方正黑体_GBK"/>
          <w:sz w:val="32"/>
          <w:szCs w:val="32"/>
        </w:rPr>
        <w:t>附件4</w:t>
      </w:r>
    </w:p>
    <w:p>
      <w:pPr>
        <w:widowControl/>
        <w:spacing w:before="156" w:beforeLines="50" w:after="156" w:afterLines="50" w:line="600" w:lineRule="exact"/>
        <w:jc w:val="center"/>
        <w:rPr>
          <w:rFonts w:hint="eastAsia" w:ascii="方正小标宋_GBK" w:hAnsi="微软雅黑" w:eastAsia="方正小标宋_GBK" w:cs="微软雅黑"/>
          <w:color w:val="000000"/>
          <w:spacing w:val="-8"/>
          <w:w w:val="95"/>
          <w:kern w:val="0"/>
          <w:sz w:val="44"/>
          <w:szCs w:val="44"/>
        </w:rPr>
      </w:pPr>
      <w:r>
        <w:rPr>
          <w:rFonts w:hint="eastAsia" w:ascii="方正小标宋_GBK" w:hAnsi="微软雅黑" w:eastAsia="方正小标宋_GBK" w:cs="微软雅黑"/>
          <w:color w:val="000000"/>
          <w:spacing w:val="-8"/>
          <w:w w:val="95"/>
          <w:kern w:val="0"/>
          <w:sz w:val="44"/>
          <w:szCs w:val="44"/>
        </w:rPr>
        <w:t>2021年度项目支出绩效自评表（业务工作经费）</w:t>
      </w:r>
    </w:p>
    <w:p>
      <w:pPr>
        <w:widowControl/>
        <w:spacing w:after="156" w:afterLines="50"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rPr>
        <w:t>单位名称：</w:t>
      </w:r>
      <w:r>
        <w:rPr>
          <w:rFonts w:hint="eastAsia" w:ascii="微软雅黑" w:hAnsi="微软雅黑" w:eastAsia="微软雅黑" w:cs="微软雅黑"/>
          <w:color w:val="000000"/>
          <w:kern w:val="0"/>
          <w:szCs w:val="21"/>
          <w:lang w:val="en-US" w:eastAsia="zh-CN"/>
        </w:rPr>
        <w:t>湖南省食品和工业产品生产许可审查中心</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974"/>
        <w:gridCol w:w="981"/>
        <w:gridCol w:w="988"/>
        <w:gridCol w:w="1120"/>
        <w:gridCol w:w="1038"/>
        <w:gridCol w:w="1058"/>
        <w:gridCol w:w="754"/>
        <w:gridCol w:w="799"/>
        <w:gridCol w:w="13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项目支</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出名称</w:t>
            </w:r>
          </w:p>
        </w:tc>
        <w:tc>
          <w:tcPr>
            <w:tcW w:w="4458" w:type="pct"/>
            <w:gridSpan w:val="8"/>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 xml:space="preserve"> </w:t>
            </w:r>
            <w:r>
              <w:rPr>
                <w:rFonts w:hint="eastAsia" w:ascii="仿宋_GB2312" w:hAnsi="宋体" w:eastAsia="仿宋_GB2312" w:cs="宋体"/>
                <w:color w:val="000000"/>
                <w:kern w:val="0"/>
                <w:sz w:val="18"/>
                <w:szCs w:val="18"/>
              </w:rPr>
              <w:t>因公出国（境）费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主管部门</w:t>
            </w:r>
          </w:p>
        </w:tc>
        <w:tc>
          <w:tcPr>
            <w:tcW w:w="2289" w:type="pct"/>
            <w:gridSpan w:val="4"/>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湖南省市场监督管理局</w:t>
            </w:r>
          </w:p>
        </w:tc>
        <w:tc>
          <w:tcPr>
            <w:tcW w:w="58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实施单位</w:t>
            </w:r>
          </w:p>
        </w:tc>
        <w:tc>
          <w:tcPr>
            <w:tcW w:w="1583" w:type="pct"/>
            <w:gridSpan w:val="3"/>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湖南省食品和工业产品生产许可审查中心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lang w:eastAsia="zh-CN"/>
              </w:rPr>
            </w:pPr>
            <w:r>
              <w:rPr>
                <w:rFonts w:hint="eastAsia" w:eastAsia="方正仿宋_GBK" w:cs="仿宋"/>
                <w:color w:val="000000"/>
                <w:kern w:val="0"/>
                <w:szCs w:val="21"/>
              </w:rPr>
              <w:t>项目资金</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（万元）</w:t>
            </w:r>
          </w:p>
        </w:tc>
        <w:tc>
          <w:tcPr>
            <w:tcW w:w="1092" w:type="pct"/>
            <w:gridSpan w:val="2"/>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621"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年初</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预算数</w:t>
            </w:r>
          </w:p>
        </w:tc>
        <w:tc>
          <w:tcPr>
            <w:tcW w:w="57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全年</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预算数</w:t>
            </w:r>
          </w:p>
        </w:tc>
        <w:tc>
          <w:tcPr>
            <w:tcW w:w="585" w:type="pct"/>
            <w:noWrap w:val="0"/>
            <w:vAlign w:val="center"/>
          </w:tcPr>
          <w:p>
            <w:pPr>
              <w:spacing w:line="260" w:lineRule="exact"/>
              <w:jc w:val="center"/>
              <w:rPr>
                <w:rFonts w:hint="eastAsia" w:eastAsia="方正仿宋_GBK" w:cs="仿宋"/>
                <w:szCs w:val="21"/>
              </w:rPr>
            </w:pPr>
            <w:r>
              <w:rPr>
                <w:rFonts w:hint="eastAsia" w:eastAsia="方正仿宋_GBK" w:cs="仿宋"/>
                <w:szCs w:val="21"/>
              </w:rPr>
              <w:t>全年</w:t>
            </w:r>
          </w:p>
          <w:p>
            <w:pPr>
              <w:spacing w:line="260" w:lineRule="exact"/>
              <w:jc w:val="center"/>
              <w:rPr>
                <w:rFonts w:hint="eastAsia" w:eastAsia="方正仿宋_GBK" w:cs="仿宋"/>
                <w:szCs w:val="21"/>
              </w:rPr>
            </w:pPr>
            <w:r>
              <w:rPr>
                <w:rFonts w:hint="eastAsia" w:eastAsia="方正仿宋_GBK" w:cs="仿宋"/>
                <w:szCs w:val="21"/>
              </w:rPr>
              <w:t>执行数</w:t>
            </w:r>
          </w:p>
        </w:tc>
        <w:tc>
          <w:tcPr>
            <w:tcW w:w="418" w:type="pct"/>
            <w:noWrap w:val="0"/>
            <w:vAlign w:val="center"/>
          </w:tcPr>
          <w:p>
            <w:pPr>
              <w:spacing w:line="260" w:lineRule="exact"/>
              <w:jc w:val="center"/>
              <w:rPr>
                <w:rFonts w:hint="eastAsia" w:eastAsia="方正仿宋_GBK" w:cs="仿宋"/>
                <w:szCs w:val="21"/>
              </w:rPr>
            </w:pPr>
            <w:r>
              <w:rPr>
                <w:rFonts w:hint="eastAsia" w:eastAsia="方正仿宋_GBK" w:cs="仿宋"/>
                <w:szCs w:val="21"/>
              </w:rPr>
              <w:t>分值</w:t>
            </w:r>
          </w:p>
        </w:tc>
        <w:tc>
          <w:tcPr>
            <w:tcW w:w="443" w:type="pct"/>
            <w:noWrap w:val="0"/>
            <w:vAlign w:val="center"/>
          </w:tcPr>
          <w:p>
            <w:pPr>
              <w:spacing w:line="260" w:lineRule="exact"/>
              <w:jc w:val="center"/>
              <w:rPr>
                <w:rFonts w:hint="eastAsia" w:eastAsia="方正仿宋_GBK" w:cs="仿宋"/>
                <w:szCs w:val="21"/>
              </w:rPr>
            </w:pPr>
            <w:r>
              <w:rPr>
                <w:rFonts w:hint="eastAsia" w:eastAsia="方正仿宋_GBK" w:cs="仿宋"/>
                <w:szCs w:val="21"/>
              </w:rPr>
              <w:t>执行率</w:t>
            </w:r>
          </w:p>
        </w:tc>
        <w:tc>
          <w:tcPr>
            <w:tcW w:w="722" w:type="pct"/>
            <w:noWrap w:val="0"/>
            <w:vAlign w:val="center"/>
          </w:tcPr>
          <w:p>
            <w:pPr>
              <w:spacing w:line="260" w:lineRule="exact"/>
              <w:jc w:val="center"/>
              <w:rPr>
                <w:rFonts w:hint="eastAsia" w:eastAsia="方正仿宋_GBK" w:cs="仿宋"/>
                <w:szCs w:val="21"/>
              </w:rPr>
            </w:pPr>
            <w:r>
              <w:rPr>
                <w:rFonts w:hint="eastAsia" w:eastAsia="方正仿宋_GBK" w:cs="仿宋"/>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年度资金总额　</w:t>
            </w:r>
          </w:p>
        </w:tc>
        <w:tc>
          <w:tcPr>
            <w:tcW w:w="621"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5</w:t>
            </w:r>
          </w:p>
        </w:tc>
        <w:tc>
          <w:tcPr>
            <w:tcW w:w="575"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5</w:t>
            </w:r>
          </w:p>
        </w:tc>
        <w:tc>
          <w:tcPr>
            <w:tcW w:w="585"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0</w:t>
            </w:r>
          </w:p>
        </w:tc>
        <w:tc>
          <w:tcPr>
            <w:tcW w:w="418" w:type="pct"/>
            <w:noWrap w:val="0"/>
            <w:vAlign w:val="center"/>
          </w:tcPr>
          <w:p>
            <w:pPr>
              <w:widowControl/>
              <w:spacing w:line="260" w:lineRule="exact"/>
              <w:jc w:val="left"/>
              <w:rPr>
                <w:rFonts w:hint="eastAsia" w:eastAsia="方正仿宋_GBK" w:cs="仿宋"/>
                <w:color w:val="000000"/>
                <w:kern w:val="0"/>
                <w:szCs w:val="21"/>
                <w:lang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0</w:t>
            </w:r>
          </w:p>
        </w:tc>
        <w:tc>
          <w:tcPr>
            <w:tcW w:w="443"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0%</w:t>
            </w:r>
          </w:p>
        </w:tc>
        <w:tc>
          <w:tcPr>
            <w:tcW w:w="722"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其中：当年财政拨款　</w:t>
            </w:r>
          </w:p>
        </w:tc>
        <w:tc>
          <w:tcPr>
            <w:tcW w:w="621"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5</w:t>
            </w:r>
          </w:p>
        </w:tc>
        <w:tc>
          <w:tcPr>
            <w:tcW w:w="575"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5</w:t>
            </w:r>
          </w:p>
        </w:tc>
        <w:tc>
          <w:tcPr>
            <w:tcW w:w="585"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0</w:t>
            </w:r>
          </w:p>
        </w:tc>
        <w:tc>
          <w:tcPr>
            <w:tcW w:w="418"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p>
        </w:tc>
        <w:tc>
          <w:tcPr>
            <w:tcW w:w="443" w:type="pct"/>
            <w:noWrap w:val="0"/>
            <w:vAlign w:val="center"/>
          </w:tcPr>
          <w:p>
            <w:pPr>
              <w:widowControl/>
              <w:spacing w:line="260" w:lineRule="exact"/>
              <w:ind w:firstLine="210" w:firstLineChars="100"/>
              <w:jc w:val="left"/>
              <w:rPr>
                <w:rFonts w:hint="default" w:eastAsia="方正仿宋_GBK" w:cs="仿宋"/>
                <w:color w:val="000000"/>
                <w:kern w:val="0"/>
                <w:szCs w:val="21"/>
                <w:lang w:val="en-US" w:eastAsia="zh-CN"/>
              </w:rPr>
            </w:pPr>
            <w:r>
              <w:rPr>
                <w:rFonts w:hint="eastAsia" w:eastAsia="方正仿宋_GBK" w:cs="仿宋"/>
                <w:color w:val="000000"/>
                <w:kern w:val="0"/>
                <w:szCs w:val="21"/>
                <w:lang w:val="en-US" w:eastAsia="zh-CN"/>
              </w:rPr>
              <w:t>0%</w:t>
            </w:r>
          </w:p>
        </w:tc>
        <w:tc>
          <w:tcPr>
            <w:tcW w:w="722"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ind w:firstLine="630" w:firstLineChars="300"/>
              <w:jc w:val="left"/>
              <w:rPr>
                <w:rFonts w:hint="eastAsia" w:eastAsia="方正仿宋_GBK" w:cs="仿宋"/>
                <w:color w:val="000000"/>
                <w:kern w:val="0"/>
                <w:szCs w:val="21"/>
              </w:rPr>
            </w:pPr>
            <w:r>
              <w:rPr>
                <w:rFonts w:hint="eastAsia" w:eastAsia="方正仿宋_GBK" w:cs="仿宋"/>
                <w:color w:val="000000"/>
                <w:kern w:val="0"/>
                <w:szCs w:val="21"/>
              </w:rPr>
              <w:t>上年结转资金　</w:t>
            </w:r>
          </w:p>
        </w:tc>
        <w:tc>
          <w:tcPr>
            <w:tcW w:w="621"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7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8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18"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43"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722"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ind w:firstLine="630" w:firstLineChars="300"/>
              <w:jc w:val="left"/>
              <w:rPr>
                <w:rFonts w:hint="eastAsia" w:eastAsia="方正仿宋_GBK" w:cs="仿宋"/>
                <w:color w:val="000000"/>
                <w:kern w:val="0"/>
                <w:szCs w:val="21"/>
              </w:rPr>
            </w:pPr>
            <w:r>
              <w:rPr>
                <w:rFonts w:hint="eastAsia" w:eastAsia="方正仿宋_GBK" w:cs="仿宋"/>
                <w:color w:val="000000"/>
                <w:kern w:val="0"/>
                <w:szCs w:val="21"/>
              </w:rPr>
              <w:t>其他资金</w:t>
            </w:r>
          </w:p>
        </w:tc>
        <w:tc>
          <w:tcPr>
            <w:tcW w:w="621"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7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8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18"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43"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722"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年度总体目标</w:t>
            </w:r>
          </w:p>
        </w:tc>
        <w:tc>
          <w:tcPr>
            <w:tcW w:w="2289" w:type="pct"/>
            <w:gridSpan w:val="4"/>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预期目标</w:t>
            </w:r>
          </w:p>
        </w:tc>
        <w:tc>
          <w:tcPr>
            <w:tcW w:w="2168" w:type="pct"/>
            <w:gridSpan w:val="4"/>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实际完成情况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2289" w:type="pct"/>
            <w:gridSpan w:val="4"/>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　　</w:t>
            </w:r>
          </w:p>
        </w:tc>
        <w:tc>
          <w:tcPr>
            <w:tcW w:w="2168" w:type="pct"/>
            <w:gridSpan w:val="4"/>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绩效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544"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一级指标</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二级指标</w:t>
            </w:r>
          </w:p>
        </w:tc>
        <w:tc>
          <w:tcPr>
            <w:tcW w:w="621"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三级指标</w:t>
            </w:r>
          </w:p>
        </w:tc>
        <w:tc>
          <w:tcPr>
            <w:tcW w:w="57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年度</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指标值</w:t>
            </w:r>
          </w:p>
        </w:tc>
        <w:tc>
          <w:tcPr>
            <w:tcW w:w="58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实际</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完成值</w:t>
            </w:r>
          </w:p>
        </w:tc>
        <w:tc>
          <w:tcPr>
            <w:tcW w:w="41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分值</w:t>
            </w:r>
          </w:p>
        </w:tc>
        <w:tc>
          <w:tcPr>
            <w:tcW w:w="443"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得分</w:t>
            </w:r>
          </w:p>
        </w:tc>
        <w:tc>
          <w:tcPr>
            <w:tcW w:w="722"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偏差原因</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分析及</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产出指标</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(50分)</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数量指标</w:t>
            </w:r>
          </w:p>
        </w:tc>
        <w:tc>
          <w:tcPr>
            <w:tcW w:w="62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出国学习人次</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1人/次</w:t>
            </w:r>
          </w:p>
        </w:tc>
        <w:tc>
          <w:tcPr>
            <w:tcW w:w="585" w:type="pct"/>
            <w:noWrap w:val="0"/>
            <w:vAlign w:val="center"/>
          </w:tcPr>
          <w:p>
            <w:pPr>
              <w:widowControl/>
              <w:spacing w:line="200" w:lineRule="exact"/>
              <w:jc w:val="center"/>
              <w:rPr>
                <w:rFonts w:hint="eastAsia" w:eastAsia="方正仿宋_GBK" w:cs="仿宋"/>
                <w:color w:val="000000"/>
                <w:kern w:val="0"/>
                <w:szCs w:val="21"/>
              </w:rPr>
            </w:pP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w:t>
            </w:r>
          </w:p>
        </w:tc>
        <w:tc>
          <w:tcPr>
            <w:tcW w:w="799" w:type="dxa"/>
            <w:noWrap w:val="0"/>
            <w:vAlign w:val="center"/>
          </w:tcPr>
          <w:p>
            <w:pPr>
              <w:widowControl/>
              <w:ind w:firstLine="180" w:firstLineChars="100"/>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val="en-US" w:eastAsia="zh-CN"/>
              </w:rPr>
              <w:t>0</w:t>
            </w:r>
          </w:p>
        </w:tc>
        <w:tc>
          <w:tcPr>
            <w:tcW w:w="722" w:type="pct"/>
            <w:noWrap w:val="0"/>
            <w:vAlign w:val="center"/>
          </w:tcPr>
          <w:p>
            <w:pPr>
              <w:widowControl/>
              <w:spacing w:line="26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质量指标</w:t>
            </w:r>
          </w:p>
        </w:tc>
        <w:tc>
          <w:tcPr>
            <w:tcW w:w="62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出国考察部门学习交流、学习先进管理经验</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按要求考察</w:t>
            </w:r>
          </w:p>
        </w:tc>
        <w:tc>
          <w:tcPr>
            <w:tcW w:w="585" w:type="pct"/>
            <w:noWrap w:val="0"/>
            <w:vAlign w:val="center"/>
          </w:tcPr>
          <w:p>
            <w:pPr>
              <w:widowControl/>
              <w:spacing w:line="200" w:lineRule="exact"/>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20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722" w:type="pct"/>
            <w:noWrap w:val="0"/>
            <w:vAlign w:val="center"/>
          </w:tcPr>
          <w:p>
            <w:pPr>
              <w:widowControl/>
              <w:spacing w:line="22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时效指标</w:t>
            </w:r>
          </w:p>
        </w:tc>
        <w:tc>
          <w:tcPr>
            <w:tcW w:w="62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考察时间</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10天</w:t>
            </w:r>
          </w:p>
        </w:tc>
        <w:tc>
          <w:tcPr>
            <w:tcW w:w="585" w:type="pct"/>
            <w:noWrap w:val="0"/>
            <w:vAlign w:val="center"/>
          </w:tcPr>
          <w:p>
            <w:pPr>
              <w:widowControl/>
              <w:jc w:val="left"/>
              <w:rPr>
                <w:rFonts w:hint="eastAsia" w:eastAsia="方正仿宋_GBK" w:cs="仿宋"/>
                <w:color w:val="000000"/>
                <w:kern w:val="0"/>
                <w:szCs w:val="21"/>
              </w:rPr>
            </w:pP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722"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成本指标</w:t>
            </w:r>
          </w:p>
        </w:tc>
        <w:tc>
          <w:tcPr>
            <w:tcW w:w="62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人均成本</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5万元</w:t>
            </w:r>
            <w:r>
              <w:rPr>
                <w:rFonts w:hint="eastAsia" w:ascii="仿宋_GB2312" w:hAnsi="宋体" w:eastAsia="仿宋_GB2312" w:cs="宋体"/>
                <w:color w:val="000000"/>
                <w:kern w:val="0"/>
                <w:sz w:val="18"/>
                <w:szCs w:val="18"/>
                <w:lang w:val="en-US" w:eastAsia="zh-CN"/>
              </w:rPr>
              <w:t>/人</w:t>
            </w:r>
          </w:p>
        </w:tc>
        <w:tc>
          <w:tcPr>
            <w:tcW w:w="585" w:type="pct"/>
            <w:noWrap w:val="0"/>
            <w:vAlign w:val="center"/>
          </w:tcPr>
          <w:p>
            <w:pPr>
              <w:widowControl/>
              <w:jc w:val="left"/>
              <w:rPr>
                <w:rFonts w:hint="eastAsia" w:eastAsia="方正仿宋_GBK" w:cs="仿宋"/>
                <w:color w:val="000000"/>
                <w:kern w:val="0"/>
                <w:szCs w:val="21"/>
              </w:rPr>
            </w:pP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722" w:type="pct"/>
            <w:noWrap w:val="0"/>
            <w:vAlign w:val="center"/>
          </w:tcPr>
          <w:p>
            <w:pPr>
              <w:widowControl/>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restar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效益指标</w:t>
            </w:r>
          </w:p>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（30分）</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经济效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62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不适用</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1人/次</w:t>
            </w:r>
          </w:p>
        </w:tc>
        <w:tc>
          <w:tcPr>
            <w:tcW w:w="585" w:type="pct"/>
            <w:noWrap w:val="0"/>
            <w:vAlign w:val="center"/>
          </w:tcPr>
          <w:p>
            <w:pPr>
              <w:widowControl/>
              <w:spacing w:line="260" w:lineRule="exact"/>
              <w:jc w:val="left"/>
              <w:rPr>
                <w:rFonts w:hint="eastAsia" w:eastAsia="方正仿宋_GBK" w:cs="仿宋"/>
                <w:color w:val="000000"/>
                <w:kern w:val="0"/>
                <w:szCs w:val="21"/>
              </w:rPr>
            </w:pP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22" w:type="pct"/>
            <w:noWrap w:val="0"/>
            <w:vAlign w:val="center"/>
          </w:tcPr>
          <w:p>
            <w:pPr>
              <w:widowControl/>
              <w:spacing w:line="26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社会效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621"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不适用</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按要求考察</w:t>
            </w:r>
          </w:p>
        </w:tc>
        <w:tc>
          <w:tcPr>
            <w:tcW w:w="585" w:type="pct"/>
            <w:noWrap w:val="0"/>
            <w:vAlign w:val="center"/>
          </w:tcPr>
          <w:p>
            <w:pPr>
              <w:widowControl/>
              <w:jc w:val="left"/>
              <w:rPr>
                <w:rFonts w:hint="eastAsia" w:eastAsia="方正仿宋_GBK" w:cs="仿宋"/>
                <w:color w:val="000000"/>
                <w:kern w:val="0"/>
                <w:szCs w:val="21"/>
              </w:rPr>
            </w:pP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30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722" w:type="pct"/>
            <w:noWrap w:val="0"/>
            <w:vAlign w:val="center"/>
          </w:tcPr>
          <w:p>
            <w:pPr>
              <w:widowControl/>
              <w:spacing w:line="24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生态效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62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不适用</w:t>
            </w:r>
          </w:p>
        </w:tc>
        <w:tc>
          <w:tcPr>
            <w:tcW w:w="575" w:type="pct"/>
            <w:noWrap w:val="0"/>
            <w:vAlign w:val="center"/>
          </w:tcPr>
          <w:p>
            <w:pPr>
              <w:widowControl/>
              <w:jc w:val="left"/>
              <w:rPr>
                <w:rFonts w:hint="eastAsia" w:eastAsia="方正仿宋_GBK" w:cs="仿宋"/>
                <w:color w:val="000000"/>
                <w:kern w:val="0"/>
                <w:szCs w:val="21"/>
              </w:rPr>
            </w:pPr>
          </w:p>
        </w:tc>
        <w:tc>
          <w:tcPr>
            <w:tcW w:w="585"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22"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绩效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544" w:type="pct"/>
            <w:noWrap w:val="0"/>
            <w:vAlign w:val="center"/>
          </w:tcPr>
          <w:p>
            <w:pPr>
              <w:widowControl/>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可持续影响指标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3"/>
                <w:szCs w:val="13"/>
              </w:rPr>
              <w:t>学习借鉴先进管理经验，提升管理和服务水平</w:t>
            </w:r>
          </w:p>
        </w:tc>
        <w:tc>
          <w:tcPr>
            <w:tcW w:w="575" w:type="pct"/>
            <w:noWrap w:val="0"/>
            <w:vAlign w:val="center"/>
          </w:tcPr>
          <w:p>
            <w:pPr>
              <w:widowControl/>
              <w:spacing w:line="260" w:lineRule="exact"/>
              <w:jc w:val="left"/>
              <w:rPr>
                <w:rFonts w:hint="eastAsia" w:eastAsia="方正仿宋_GBK" w:cs="仿宋"/>
                <w:color w:val="000000"/>
                <w:kern w:val="0"/>
                <w:szCs w:val="21"/>
              </w:rPr>
            </w:pPr>
          </w:p>
        </w:tc>
        <w:tc>
          <w:tcPr>
            <w:tcW w:w="585" w:type="pct"/>
            <w:noWrap w:val="0"/>
            <w:vAlign w:val="center"/>
          </w:tcPr>
          <w:p>
            <w:pPr>
              <w:widowControl/>
              <w:spacing w:line="260" w:lineRule="exact"/>
              <w:jc w:val="left"/>
              <w:rPr>
                <w:rFonts w:hint="eastAsia" w:eastAsia="方正仿宋_GBK" w:cs="仿宋"/>
                <w:color w:val="000000"/>
                <w:kern w:val="0"/>
                <w:szCs w:val="21"/>
              </w:rPr>
            </w:pP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722" w:type="pct"/>
            <w:noWrap w:val="0"/>
            <w:vAlign w:val="center"/>
          </w:tcPr>
          <w:p>
            <w:pPr>
              <w:widowControl/>
              <w:spacing w:line="26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满意度</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（10分）</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服务对象满意度指标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不适用</w:t>
            </w:r>
          </w:p>
        </w:tc>
        <w:tc>
          <w:tcPr>
            <w:tcW w:w="575" w:type="pct"/>
            <w:noWrap w:val="0"/>
            <w:vAlign w:val="center"/>
          </w:tcPr>
          <w:p>
            <w:pPr>
              <w:widowControl/>
              <w:spacing w:line="260" w:lineRule="exact"/>
              <w:jc w:val="left"/>
              <w:rPr>
                <w:rFonts w:hint="eastAsia" w:eastAsia="方正仿宋_GBK" w:cs="仿宋"/>
                <w:color w:val="000000"/>
                <w:kern w:val="0"/>
                <w:szCs w:val="21"/>
              </w:rPr>
            </w:pPr>
          </w:p>
        </w:tc>
        <w:tc>
          <w:tcPr>
            <w:tcW w:w="585" w:type="pct"/>
            <w:noWrap w:val="0"/>
            <w:vAlign w:val="center"/>
          </w:tcPr>
          <w:p>
            <w:pPr>
              <w:widowControl/>
              <w:spacing w:line="260" w:lineRule="exact"/>
              <w:jc w:val="left"/>
              <w:rPr>
                <w:rFonts w:hint="eastAsia" w:eastAsia="方正仿宋_GBK" w:cs="仿宋"/>
                <w:color w:val="000000"/>
                <w:kern w:val="0"/>
                <w:szCs w:val="21"/>
              </w:rPr>
            </w:pPr>
          </w:p>
        </w:tc>
        <w:tc>
          <w:tcPr>
            <w:tcW w:w="754" w:type="dxa"/>
            <w:noWrap w:val="0"/>
            <w:vAlign w:val="center"/>
          </w:tcPr>
          <w:p>
            <w:pPr>
              <w:widowControl/>
              <w:jc w:val="left"/>
              <w:rPr>
                <w:rFonts w:hint="eastAsia" w:eastAsia="方正仿宋_GBK" w:cs="仿宋"/>
                <w:color w:val="000000"/>
                <w:kern w:val="0"/>
                <w:szCs w:val="21"/>
              </w:rPr>
            </w:pP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22" w:type="pct"/>
            <w:noWrap w:val="0"/>
            <w:vAlign w:val="center"/>
          </w:tcPr>
          <w:p>
            <w:pPr>
              <w:widowControl/>
              <w:spacing w:line="26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3416" w:type="pct"/>
            <w:gridSpan w:val="6"/>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总分</w:t>
            </w:r>
          </w:p>
        </w:tc>
        <w:tc>
          <w:tcPr>
            <w:tcW w:w="41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100</w:t>
            </w:r>
          </w:p>
        </w:tc>
        <w:tc>
          <w:tcPr>
            <w:tcW w:w="443" w:type="pct"/>
            <w:noWrap w:val="0"/>
            <w:vAlign w:val="center"/>
          </w:tcPr>
          <w:p>
            <w:pPr>
              <w:widowControl/>
              <w:spacing w:line="260" w:lineRule="exact"/>
              <w:ind w:firstLine="210" w:firstLineChars="100"/>
              <w:jc w:val="left"/>
              <w:rPr>
                <w:rFonts w:hint="eastAsia" w:eastAsia="方正仿宋_GBK" w:cs="仿宋"/>
                <w:color w:val="000000"/>
                <w:kern w:val="0"/>
                <w:szCs w:val="21"/>
                <w:lang w:val="en-US" w:eastAsia="zh-CN"/>
              </w:rPr>
            </w:pPr>
            <w:r>
              <w:rPr>
                <w:rFonts w:hint="eastAsia" w:eastAsia="方正仿宋_GBK" w:cs="仿宋"/>
                <w:color w:val="000000"/>
                <w:kern w:val="0"/>
                <w:szCs w:val="21"/>
                <w:lang w:val="en-US" w:eastAsia="zh-CN"/>
              </w:rPr>
              <w:t>0</w:t>
            </w:r>
          </w:p>
        </w:tc>
        <w:tc>
          <w:tcPr>
            <w:tcW w:w="722" w:type="pct"/>
            <w:noWrap w:val="0"/>
            <w:vAlign w:val="center"/>
          </w:tcPr>
          <w:p>
            <w:pPr>
              <w:widowControl/>
              <w:spacing w:line="260" w:lineRule="exact"/>
              <w:jc w:val="left"/>
              <w:rPr>
                <w:rFonts w:hint="eastAsia" w:eastAsia="方正仿宋_GBK" w:cs="仿宋"/>
                <w:color w:val="000000"/>
                <w:kern w:val="0"/>
                <w:szCs w:val="21"/>
              </w:rPr>
            </w:pPr>
          </w:p>
        </w:tc>
      </w:tr>
    </w:tbl>
    <w:p>
      <w:pPr>
        <w:widowControl/>
        <w:spacing w:line="480" w:lineRule="exact"/>
        <w:jc w:val="left"/>
        <w:rPr>
          <w:rFonts w:hint="eastAsia" w:ascii="微软雅黑" w:hAnsi="微软雅黑" w:eastAsia="微软雅黑" w:cs="微软雅黑"/>
          <w:kern w:val="0"/>
          <w:szCs w:val="21"/>
        </w:rPr>
        <w:sectPr>
          <w:pgSz w:w="11906" w:h="16838"/>
          <w:pgMar w:top="1985" w:right="1474" w:bottom="1474" w:left="1474" w:header="851" w:footer="1134" w:gutter="0"/>
          <w:cols w:space="720" w:num="1"/>
          <w:docGrid w:type="lines" w:linePitch="312" w:charSpace="0"/>
        </w:sectPr>
      </w:pPr>
      <w:r>
        <w:rPr>
          <w:rFonts w:hint="eastAsia" w:ascii="微软雅黑" w:hAnsi="微软雅黑" w:eastAsia="微软雅黑" w:cs="微软雅黑"/>
          <w:kern w:val="0"/>
          <w:szCs w:val="21"/>
        </w:rPr>
        <w:t>填表人：</w:t>
      </w:r>
      <w:r>
        <w:rPr>
          <w:rFonts w:hint="eastAsia" w:ascii="微软雅黑" w:hAnsi="微软雅黑" w:eastAsia="微软雅黑" w:cs="微软雅黑"/>
          <w:kern w:val="0"/>
          <w:szCs w:val="21"/>
          <w:lang w:val="en-US" w:eastAsia="zh-CN"/>
        </w:rPr>
        <w:t>杨泓</w:t>
      </w:r>
      <w:r>
        <w:rPr>
          <w:rFonts w:hint="eastAsia" w:ascii="微软雅黑" w:hAnsi="微软雅黑" w:eastAsia="微软雅黑" w:cs="微软雅黑"/>
          <w:kern w:val="0"/>
          <w:szCs w:val="21"/>
        </w:rPr>
        <w:t xml:space="preserve">  填报日期：</w:t>
      </w:r>
      <w:r>
        <w:rPr>
          <w:rFonts w:hint="eastAsia" w:ascii="微软雅黑" w:hAnsi="微软雅黑" w:eastAsia="微软雅黑" w:cs="微软雅黑"/>
          <w:kern w:val="0"/>
          <w:szCs w:val="21"/>
          <w:lang w:val="en-US" w:eastAsia="zh-CN"/>
        </w:rPr>
        <w:t>2022.4.29</w:t>
      </w:r>
      <w:r>
        <w:rPr>
          <w:rFonts w:hint="eastAsia" w:ascii="微软雅黑" w:hAnsi="微软雅黑" w:eastAsia="微软雅黑" w:cs="微软雅黑"/>
          <w:kern w:val="0"/>
          <w:szCs w:val="21"/>
        </w:rPr>
        <w:t xml:space="preserve">    联系电话：</w:t>
      </w:r>
      <w:r>
        <w:rPr>
          <w:rFonts w:hint="eastAsia" w:ascii="微软雅黑" w:hAnsi="微软雅黑" w:eastAsia="微软雅黑" w:cs="微软雅黑"/>
          <w:kern w:val="0"/>
          <w:szCs w:val="21"/>
          <w:lang w:val="en-US" w:eastAsia="zh-CN"/>
        </w:rPr>
        <w:t>0731-85693711</w:t>
      </w:r>
      <w:r>
        <w:rPr>
          <w:rFonts w:hint="eastAsia" w:ascii="微软雅黑" w:hAnsi="微软雅黑" w:eastAsia="微软雅黑" w:cs="微软雅黑"/>
          <w:kern w:val="0"/>
          <w:szCs w:val="21"/>
        </w:rPr>
        <w:t xml:space="preserve">  单位负责人签字：</w:t>
      </w:r>
    </w:p>
    <w:p>
      <w:pPr>
        <w:widowControl/>
        <w:spacing w:line="480" w:lineRule="exact"/>
        <w:jc w:val="left"/>
        <w:outlineLvl w:val="0"/>
        <w:rPr>
          <w:rFonts w:eastAsia="方正黑体_GBK"/>
          <w:sz w:val="32"/>
          <w:szCs w:val="32"/>
        </w:rPr>
      </w:pPr>
      <w:r>
        <w:rPr>
          <w:rFonts w:hint="eastAsia" w:eastAsia="方正黑体_GBK"/>
          <w:sz w:val="32"/>
          <w:szCs w:val="32"/>
        </w:rPr>
        <w:t>附件5</w:t>
      </w:r>
    </w:p>
    <w:p>
      <w:pPr>
        <w:widowControl/>
        <w:spacing w:before="156" w:beforeLines="50" w:after="156" w:afterLines="50" w:line="600" w:lineRule="exact"/>
        <w:jc w:val="center"/>
        <w:rPr>
          <w:rFonts w:hint="eastAsia" w:ascii="方正小标宋_GBK" w:hAnsi="微软雅黑" w:eastAsia="方正小标宋_GBK" w:cs="微软雅黑"/>
          <w:color w:val="000000"/>
          <w:spacing w:val="-8"/>
          <w:w w:val="95"/>
          <w:kern w:val="0"/>
          <w:sz w:val="44"/>
          <w:szCs w:val="44"/>
        </w:rPr>
      </w:pPr>
      <w:r>
        <w:rPr>
          <w:rFonts w:hint="eastAsia" w:ascii="方正小标宋_GBK" w:hAnsi="微软雅黑" w:eastAsia="方正小标宋_GBK" w:cs="微软雅黑"/>
          <w:color w:val="000000"/>
          <w:spacing w:val="-8"/>
          <w:w w:val="95"/>
          <w:kern w:val="0"/>
          <w:sz w:val="44"/>
          <w:szCs w:val="44"/>
        </w:rPr>
        <w:t>2021年度项目支出绩效自评表（运行维护专项）</w:t>
      </w:r>
    </w:p>
    <w:p>
      <w:pPr>
        <w:widowControl/>
        <w:spacing w:after="156" w:afterLines="50"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rPr>
        <w:t>单位名称：</w:t>
      </w:r>
      <w:r>
        <w:rPr>
          <w:rFonts w:hint="eastAsia" w:ascii="微软雅黑" w:hAnsi="微软雅黑" w:eastAsia="微软雅黑" w:cs="微软雅黑"/>
          <w:color w:val="000000"/>
          <w:kern w:val="0"/>
          <w:szCs w:val="21"/>
          <w:lang w:val="en-US" w:eastAsia="zh-CN"/>
        </w:rPr>
        <w:t>湖南省食品和工业产品生产许可审查中心</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138"/>
        <w:gridCol w:w="1145"/>
        <w:gridCol w:w="1153"/>
        <w:gridCol w:w="1307"/>
        <w:gridCol w:w="1212"/>
        <w:gridCol w:w="1235"/>
        <w:gridCol w:w="880"/>
        <w:gridCol w:w="932"/>
        <w:gridCol w:w="15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项目支</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出名称</w:t>
            </w:r>
          </w:p>
        </w:tc>
        <w:tc>
          <w:tcPr>
            <w:tcW w:w="4458" w:type="pct"/>
            <w:gridSpan w:val="8"/>
            <w:noWrap w:val="0"/>
            <w:vAlign w:val="center"/>
          </w:tcPr>
          <w:p>
            <w:pPr>
              <w:widowControl/>
              <w:spacing w:line="260" w:lineRule="exact"/>
              <w:jc w:val="center"/>
              <w:rPr>
                <w:rFonts w:hint="eastAsia" w:eastAsia="方正仿宋_GBK" w:cs="仿宋"/>
                <w:color w:val="000000"/>
                <w:kern w:val="0"/>
                <w:szCs w:val="21"/>
              </w:rPr>
            </w:pPr>
            <w:r>
              <w:rPr>
                <w:rFonts w:hint="eastAsia" w:ascii="仿宋_GB2312" w:hAnsi="宋体" w:eastAsia="仿宋_GB2312" w:cs="宋体"/>
                <w:color w:val="000000"/>
                <w:kern w:val="0"/>
                <w:sz w:val="18"/>
                <w:szCs w:val="18"/>
                <w:lang w:eastAsia="zh-CN"/>
              </w:rPr>
              <w:t>办公设备购置</w:t>
            </w: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主管部门</w:t>
            </w:r>
          </w:p>
        </w:tc>
        <w:tc>
          <w:tcPr>
            <w:tcW w:w="2289" w:type="pct"/>
            <w:gridSpan w:val="4"/>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8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实施单位</w:t>
            </w:r>
          </w:p>
        </w:tc>
        <w:tc>
          <w:tcPr>
            <w:tcW w:w="1583" w:type="pct"/>
            <w:gridSpan w:val="3"/>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lang w:eastAsia="zh-CN"/>
              </w:rPr>
            </w:pPr>
            <w:r>
              <w:rPr>
                <w:rFonts w:hint="eastAsia" w:eastAsia="方正仿宋_GBK" w:cs="仿宋"/>
                <w:color w:val="000000"/>
                <w:kern w:val="0"/>
                <w:szCs w:val="21"/>
              </w:rPr>
              <w:t>项目资金</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（万元）</w:t>
            </w:r>
          </w:p>
        </w:tc>
        <w:tc>
          <w:tcPr>
            <w:tcW w:w="1092" w:type="pct"/>
            <w:gridSpan w:val="2"/>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621"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年初</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预算数</w:t>
            </w:r>
          </w:p>
        </w:tc>
        <w:tc>
          <w:tcPr>
            <w:tcW w:w="57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全年</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预算数</w:t>
            </w:r>
          </w:p>
        </w:tc>
        <w:tc>
          <w:tcPr>
            <w:tcW w:w="585" w:type="pct"/>
            <w:noWrap w:val="0"/>
            <w:vAlign w:val="center"/>
          </w:tcPr>
          <w:p>
            <w:pPr>
              <w:spacing w:line="260" w:lineRule="exact"/>
              <w:jc w:val="center"/>
              <w:rPr>
                <w:rFonts w:hint="eastAsia" w:eastAsia="方正仿宋_GBK" w:cs="仿宋"/>
                <w:szCs w:val="21"/>
              </w:rPr>
            </w:pPr>
            <w:r>
              <w:rPr>
                <w:rFonts w:hint="eastAsia" w:eastAsia="方正仿宋_GBK" w:cs="仿宋"/>
                <w:szCs w:val="21"/>
              </w:rPr>
              <w:t>全年</w:t>
            </w:r>
          </w:p>
          <w:p>
            <w:pPr>
              <w:spacing w:line="260" w:lineRule="exact"/>
              <w:jc w:val="center"/>
              <w:rPr>
                <w:rFonts w:hint="eastAsia" w:eastAsia="方正仿宋_GBK" w:cs="仿宋"/>
                <w:szCs w:val="21"/>
              </w:rPr>
            </w:pPr>
            <w:r>
              <w:rPr>
                <w:rFonts w:hint="eastAsia" w:eastAsia="方正仿宋_GBK" w:cs="仿宋"/>
                <w:szCs w:val="21"/>
              </w:rPr>
              <w:t>执行数</w:t>
            </w:r>
          </w:p>
        </w:tc>
        <w:tc>
          <w:tcPr>
            <w:tcW w:w="418" w:type="pct"/>
            <w:noWrap w:val="0"/>
            <w:vAlign w:val="center"/>
          </w:tcPr>
          <w:p>
            <w:pPr>
              <w:spacing w:line="260" w:lineRule="exact"/>
              <w:jc w:val="center"/>
              <w:rPr>
                <w:rFonts w:hint="eastAsia" w:eastAsia="方正仿宋_GBK" w:cs="仿宋"/>
                <w:szCs w:val="21"/>
              </w:rPr>
            </w:pPr>
            <w:r>
              <w:rPr>
                <w:rFonts w:hint="eastAsia" w:eastAsia="方正仿宋_GBK" w:cs="仿宋"/>
                <w:szCs w:val="21"/>
              </w:rPr>
              <w:t>分值</w:t>
            </w:r>
          </w:p>
        </w:tc>
        <w:tc>
          <w:tcPr>
            <w:tcW w:w="443" w:type="pct"/>
            <w:noWrap w:val="0"/>
            <w:vAlign w:val="center"/>
          </w:tcPr>
          <w:p>
            <w:pPr>
              <w:spacing w:line="260" w:lineRule="exact"/>
              <w:jc w:val="center"/>
              <w:rPr>
                <w:rFonts w:hint="eastAsia" w:eastAsia="方正仿宋_GBK" w:cs="仿宋"/>
                <w:szCs w:val="21"/>
              </w:rPr>
            </w:pPr>
            <w:r>
              <w:rPr>
                <w:rFonts w:hint="eastAsia" w:eastAsia="方正仿宋_GBK" w:cs="仿宋"/>
                <w:szCs w:val="21"/>
              </w:rPr>
              <w:t>执行率</w:t>
            </w:r>
          </w:p>
        </w:tc>
        <w:tc>
          <w:tcPr>
            <w:tcW w:w="722" w:type="pct"/>
            <w:noWrap w:val="0"/>
            <w:vAlign w:val="center"/>
          </w:tcPr>
          <w:p>
            <w:pPr>
              <w:spacing w:line="260" w:lineRule="exact"/>
              <w:jc w:val="center"/>
              <w:rPr>
                <w:rFonts w:hint="eastAsia" w:eastAsia="方正仿宋_GBK" w:cs="仿宋"/>
                <w:szCs w:val="21"/>
              </w:rPr>
            </w:pPr>
            <w:r>
              <w:rPr>
                <w:rFonts w:hint="eastAsia" w:eastAsia="方正仿宋_GBK" w:cs="仿宋"/>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年度资金总额　</w:t>
            </w:r>
          </w:p>
        </w:tc>
        <w:tc>
          <w:tcPr>
            <w:tcW w:w="621" w:type="pct"/>
            <w:noWrap w:val="0"/>
            <w:vAlign w:val="center"/>
          </w:tcPr>
          <w:p>
            <w:pPr>
              <w:widowControl/>
              <w:spacing w:line="26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4</w:t>
            </w:r>
          </w:p>
        </w:tc>
        <w:tc>
          <w:tcPr>
            <w:tcW w:w="575" w:type="pct"/>
            <w:noWrap w:val="0"/>
            <w:vAlign w:val="center"/>
          </w:tcPr>
          <w:p>
            <w:pPr>
              <w:widowControl/>
              <w:spacing w:line="26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4</w:t>
            </w:r>
          </w:p>
        </w:tc>
        <w:tc>
          <w:tcPr>
            <w:tcW w:w="585" w:type="pct"/>
            <w:noWrap w:val="0"/>
            <w:vAlign w:val="center"/>
          </w:tcPr>
          <w:p>
            <w:pPr>
              <w:widowControl/>
              <w:spacing w:line="26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4</w:t>
            </w:r>
          </w:p>
        </w:tc>
        <w:tc>
          <w:tcPr>
            <w:tcW w:w="418"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10</w:t>
            </w:r>
          </w:p>
        </w:tc>
        <w:tc>
          <w:tcPr>
            <w:tcW w:w="443"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100%</w:t>
            </w:r>
          </w:p>
        </w:tc>
        <w:tc>
          <w:tcPr>
            <w:tcW w:w="722"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其中：当年财政拨款　</w:t>
            </w:r>
          </w:p>
        </w:tc>
        <w:tc>
          <w:tcPr>
            <w:tcW w:w="621" w:type="pct"/>
            <w:noWrap w:val="0"/>
            <w:vAlign w:val="center"/>
          </w:tcPr>
          <w:p>
            <w:pPr>
              <w:widowControl/>
              <w:spacing w:line="26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4</w:t>
            </w:r>
          </w:p>
        </w:tc>
        <w:tc>
          <w:tcPr>
            <w:tcW w:w="575" w:type="pct"/>
            <w:noWrap w:val="0"/>
            <w:vAlign w:val="center"/>
          </w:tcPr>
          <w:p>
            <w:pPr>
              <w:widowControl/>
              <w:spacing w:line="26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4</w:t>
            </w:r>
          </w:p>
        </w:tc>
        <w:tc>
          <w:tcPr>
            <w:tcW w:w="585" w:type="pct"/>
            <w:noWrap w:val="0"/>
            <w:vAlign w:val="center"/>
          </w:tcPr>
          <w:p>
            <w:pPr>
              <w:widowControl/>
              <w:spacing w:line="26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4</w:t>
            </w:r>
          </w:p>
        </w:tc>
        <w:tc>
          <w:tcPr>
            <w:tcW w:w="418"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10</w:t>
            </w:r>
          </w:p>
        </w:tc>
        <w:tc>
          <w:tcPr>
            <w:tcW w:w="443"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100%</w:t>
            </w:r>
          </w:p>
        </w:tc>
        <w:tc>
          <w:tcPr>
            <w:tcW w:w="722"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ind w:firstLine="630" w:firstLineChars="300"/>
              <w:jc w:val="left"/>
              <w:rPr>
                <w:rFonts w:hint="eastAsia" w:eastAsia="方正仿宋_GBK" w:cs="仿宋"/>
                <w:color w:val="000000"/>
                <w:kern w:val="0"/>
                <w:szCs w:val="21"/>
              </w:rPr>
            </w:pPr>
            <w:r>
              <w:rPr>
                <w:rFonts w:hint="eastAsia" w:eastAsia="方正仿宋_GBK" w:cs="仿宋"/>
                <w:color w:val="000000"/>
                <w:kern w:val="0"/>
                <w:szCs w:val="21"/>
              </w:rPr>
              <w:t>上年结转资金　</w:t>
            </w:r>
          </w:p>
        </w:tc>
        <w:tc>
          <w:tcPr>
            <w:tcW w:w="621"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7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8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18"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43"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722"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ind w:firstLine="630" w:firstLineChars="300"/>
              <w:jc w:val="left"/>
              <w:rPr>
                <w:rFonts w:hint="eastAsia" w:eastAsia="方正仿宋_GBK" w:cs="仿宋"/>
                <w:color w:val="000000"/>
                <w:kern w:val="0"/>
                <w:szCs w:val="21"/>
              </w:rPr>
            </w:pPr>
            <w:r>
              <w:rPr>
                <w:rFonts w:hint="eastAsia" w:eastAsia="方正仿宋_GBK" w:cs="仿宋"/>
                <w:color w:val="000000"/>
                <w:kern w:val="0"/>
                <w:szCs w:val="21"/>
              </w:rPr>
              <w:t>其他资金</w:t>
            </w:r>
          </w:p>
        </w:tc>
        <w:tc>
          <w:tcPr>
            <w:tcW w:w="621"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7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8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18"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43"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722"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年度总体目标</w:t>
            </w:r>
          </w:p>
        </w:tc>
        <w:tc>
          <w:tcPr>
            <w:tcW w:w="2289" w:type="pct"/>
            <w:gridSpan w:val="4"/>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预期目标</w:t>
            </w:r>
          </w:p>
        </w:tc>
        <w:tc>
          <w:tcPr>
            <w:tcW w:w="2168" w:type="pct"/>
            <w:gridSpan w:val="4"/>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实际完成情况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2289" w:type="pct"/>
            <w:gridSpan w:val="4"/>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　　</w:t>
            </w:r>
          </w:p>
        </w:tc>
        <w:tc>
          <w:tcPr>
            <w:tcW w:w="2168" w:type="pct"/>
            <w:gridSpan w:val="4"/>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绩效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544"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一级指标</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二级指标</w:t>
            </w:r>
          </w:p>
        </w:tc>
        <w:tc>
          <w:tcPr>
            <w:tcW w:w="621"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三级指标</w:t>
            </w:r>
          </w:p>
        </w:tc>
        <w:tc>
          <w:tcPr>
            <w:tcW w:w="57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年度</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指标值</w:t>
            </w:r>
          </w:p>
        </w:tc>
        <w:tc>
          <w:tcPr>
            <w:tcW w:w="58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实际</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完成值</w:t>
            </w:r>
          </w:p>
        </w:tc>
        <w:tc>
          <w:tcPr>
            <w:tcW w:w="41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分值</w:t>
            </w:r>
          </w:p>
        </w:tc>
        <w:tc>
          <w:tcPr>
            <w:tcW w:w="443"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得分</w:t>
            </w:r>
          </w:p>
        </w:tc>
        <w:tc>
          <w:tcPr>
            <w:tcW w:w="722"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偏差原因</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分析及</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产出指标</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(50分)</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数量指标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购置办公电脑数</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4台</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4台</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15</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15</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质量指标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设备验收合格率</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100%</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100%</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15</w:t>
            </w:r>
          </w:p>
        </w:tc>
        <w:tc>
          <w:tcPr>
            <w:tcW w:w="799" w:type="dxa"/>
            <w:noWrap w:val="0"/>
            <w:vAlign w:val="center"/>
          </w:tcPr>
          <w:p>
            <w:pPr>
              <w:widowControl/>
              <w:jc w:val="center"/>
              <w:rPr>
                <w:rFonts w:hint="eastAsia" w:eastAsia="方正仿宋_GBK" w:cs="仿宋"/>
                <w:color w:val="000000"/>
                <w:kern w:val="0"/>
                <w:szCs w:val="21"/>
              </w:rPr>
            </w:pPr>
            <w:r>
              <w:rPr>
                <w:rFonts w:hint="eastAsia" w:ascii="仿宋_GB2312" w:hAnsi="宋体" w:eastAsia="仿宋_GB2312" w:cs="宋体"/>
                <w:color w:val="000000"/>
                <w:kern w:val="0"/>
                <w:sz w:val="18"/>
                <w:szCs w:val="18"/>
                <w:lang w:val="en-US" w:eastAsia="zh-CN"/>
              </w:rPr>
              <w:t>15</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时效指标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购买办公设备时间</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202</w:t>
            </w: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年12月31日</w:t>
            </w:r>
            <w:r>
              <w:rPr>
                <w:rFonts w:hint="eastAsia" w:ascii="仿宋_GB2312" w:hAnsi="宋体" w:eastAsia="仿宋_GB2312" w:cs="宋体"/>
                <w:color w:val="000000"/>
                <w:kern w:val="0"/>
                <w:sz w:val="18"/>
                <w:szCs w:val="18"/>
                <w:lang w:eastAsia="zh-CN"/>
              </w:rPr>
              <w:t>前</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val="en-US" w:eastAsia="zh-CN"/>
              </w:rPr>
              <w:t>2021年11月已购置完成</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成本指标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购置成本</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val="en-US" w:eastAsia="zh-CN"/>
              </w:rPr>
              <w:t>1万元/台</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1万元/台</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99" w:type="dxa"/>
            <w:noWrap w:val="0"/>
            <w:vAlign w:val="center"/>
          </w:tcPr>
          <w:p>
            <w:pPr>
              <w:widowControl/>
              <w:ind w:firstLine="180" w:firstLineChars="100"/>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val="en-US" w:eastAsia="zh-CN"/>
              </w:rPr>
              <w:t>10</w:t>
            </w:r>
            <w:r>
              <w:rPr>
                <w:rFonts w:hint="eastAsia" w:ascii="仿宋_GB2312" w:hAnsi="宋体" w:eastAsia="仿宋_GB2312" w:cs="宋体"/>
                <w:color w:val="000000"/>
                <w:kern w:val="0"/>
                <w:sz w:val="18"/>
                <w:szCs w:val="18"/>
              </w:rPr>
              <w:t>　</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restar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效益指标</w:t>
            </w:r>
          </w:p>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（30分）</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经济效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eastAsia="zh-CN"/>
              </w:rPr>
              <w:t>不适用</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社会效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eastAsia="zh-CN"/>
              </w:rPr>
              <w:t>不适用</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生态效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eastAsia="zh-CN"/>
              </w:rPr>
              <w:t>不适用</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绩效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544"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可持续影响指标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提供日常办公所需</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满意度</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（10分）</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服务对象满意度指标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设备使用对象满意度</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100%</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100%</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val="en-US" w:eastAsia="zh-CN"/>
              </w:rPr>
              <w:t>10</w:t>
            </w:r>
            <w:r>
              <w:rPr>
                <w:rFonts w:hint="eastAsia" w:ascii="仿宋_GB2312" w:hAnsi="宋体" w:eastAsia="仿宋_GB2312" w:cs="宋体"/>
                <w:color w:val="000000"/>
                <w:kern w:val="0"/>
                <w:sz w:val="18"/>
                <w:szCs w:val="18"/>
              </w:rPr>
              <w:t>　</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3416" w:type="pct"/>
            <w:gridSpan w:val="6"/>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总分</w:t>
            </w:r>
          </w:p>
        </w:tc>
        <w:tc>
          <w:tcPr>
            <w:tcW w:w="41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100</w:t>
            </w:r>
          </w:p>
        </w:tc>
        <w:tc>
          <w:tcPr>
            <w:tcW w:w="443" w:type="pct"/>
            <w:noWrap w:val="0"/>
            <w:vAlign w:val="center"/>
          </w:tcPr>
          <w:p>
            <w:pPr>
              <w:widowControl/>
              <w:spacing w:line="260" w:lineRule="exact"/>
              <w:jc w:val="center"/>
              <w:rPr>
                <w:rFonts w:hint="default" w:eastAsia="方正仿宋_GBK" w:cs="仿宋"/>
                <w:color w:val="000000"/>
                <w:kern w:val="0"/>
                <w:szCs w:val="21"/>
                <w:lang w:val="en-US" w:eastAsia="zh-CN"/>
              </w:rPr>
            </w:pPr>
            <w:r>
              <w:rPr>
                <w:rFonts w:hint="eastAsia" w:eastAsia="方正仿宋_GBK" w:cs="仿宋"/>
                <w:color w:val="000000"/>
                <w:kern w:val="0"/>
                <w:szCs w:val="21"/>
                <w:lang w:val="en-US" w:eastAsia="zh-CN"/>
              </w:rPr>
              <w:t>100</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bl>
    <w:p>
      <w:pPr>
        <w:widowControl/>
        <w:jc w:val="left"/>
        <w:rPr>
          <w:rFonts w:hint="default" w:cs="黑体" w:asciiTheme="minorEastAsia" w:hAnsiTheme="minorEastAsia"/>
          <w:color w:val="000000"/>
          <w:kern w:val="0"/>
          <w:sz w:val="32"/>
          <w:szCs w:val="32"/>
          <w:lang w:val="en-US" w:eastAsia="zh-CN"/>
        </w:rPr>
        <w:sectPr>
          <w:pgSz w:w="11906" w:h="16838"/>
          <w:pgMar w:top="720" w:right="720" w:bottom="720" w:left="720" w:header="851" w:footer="992" w:gutter="0"/>
          <w:cols w:space="425" w:num="1"/>
          <w:docGrid w:type="linesAndChars" w:linePitch="312" w:charSpace="0"/>
        </w:sectPr>
      </w:pPr>
      <w:r>
        <w:rPr>
          <w:rFonts w:hint="eastAsia" w:ascii="微软雅黑" w:hAnsi="微软雅黑" w:eastAsia="微软雅黑" w:cs="微软雅黑"/>
          <w:kern w:val="0"/>
          <w:szCs w:val="21"/>
        </w:rPr>
        <w:t>填表人：</w:t>
      </w:r>
      <w:r>
        <w:rPr>
          <w:rFonts w:hint="eastAsia" w:ascii="微软雅黑" w:hAnsi="微软雅黑" w:eastAsia="微软雅黑" w:cs="微软雅黑"/>
          <w:kern w:val="0"/>
          <w:szCs w:val="21"/>
          <w:lang w:val="en-US" w:eastAsia="zh-CN"/>
        </w:rPr>
        <w:t>杨泓</w:t>
      </w:r>
      <w:r>
        <w:rPr>
          <w:rFonts w:hint="eastAsia" w:ascii="微软雅黑" w:hAnsi="微软雅黑" w:eastAsia="微软雅黑" w:cs="微软雅黑"/>
          <w:kern w:val="0"/>
          <w:szCs w:val="21"/>
        </w:rPr>
        <w:t xml:space="preserve"> 填报日期：</w:t>
      </w:r>
      <w:r>
        <w:rPr>
          <w:rFonts w:hint="eastAsia" w:ascii="微软雅黑" w:hAnsi="微软雅黑" w:eastAsia="微软雅黑" w:cs="微软雅黑"/>
          <w:kern w:val="0"/>
          <w:szCs w:val="21"/>
          <w:lang w:val="en-US" w:eastAsia="zh-CN"/>
        </w:rPr>
        <w:t>2022.4.29</w:t>
      </w:r>
      <w:r>
        <w:rPr>
          <w:rFonts w:hint="eastAsia" w:ascii="微软雅黑" w:hAnsi="微软雅黑" w:eastAsia="微软雅黑" w:cs="微软雅黑"/>
          <w:kern w:val="0"/>
          <w:szCs w:val="21"/>
        </w:rPr>
        <w:t xml:space="preserve">   联系电话：</w:t>
      </w:r>
      <w:r>
        <w:rPr>
          <w:rFonts w:hint="eastAsia" w:ascii="微软雅黑" w:hAnsi="微软雅黑" w:eastAsia="微软雅黑" w:cs="微软雅黑"/>
          <w:kern w:val="0"/>
          <w:szCs w:val="21"/>
          <w:lang w:val="en-US" w:eastAsia="zh-CN"/>
        </w:rPr>
        <w:t>0731-85693711</w:t>
      </w:r>
      <w:r>
        <w:rPr>
          <w:rFonts w:hint="eastAsia" w:ascii="微软雅黑" w:hAnsi="微软雅黑" w:eastAsia="微软雅黑" w:cs="微软雅黑"/>
          <w:kern w:val="0"/>
          <w:szCs w:val="21"/>
        </w:rPr>
        <w:t xml:space="preserve">  单位负责人签字</w:t>
      </w:r>
      <w:r>
        <w:rPr>
          <w:rFonts w:hint="eastAsia" w:ascii="微软雅黑" w:hAnsi="微软雅黑" w:eastAsia="微软雅黑" w:cs="微软雅黑"/>
          <w:kern w:val="0"/>
          <w:szCs w:val="21"/>
          <w:lang w:eastAsia="zh-CN"/>
        </w:rPr>
        <w:t>：</w:t>
      </w:r>
    </w:p>
    <w:p>
      <w:pPr>
        <w:widowControl/>
        <w:jc w:val="left"/>
        <w:rPr>
          <w:rFonts w:hint="default" w:cs="黑体" w:asciiTheme="minorEastAsia" w:hAnsiTheme="minorEastAsia"/>
          <w:color w:val="000000"/>
          <w:kern w:val="0"/>
          <w:sz w:val="32"/>
          <w:szCs w:val="32"/>
          <w:lang w:val="en-US"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5</w:t>
    </w:r>
    <w:r>
      <w:rPr>
        <w:rStyle w:val="8"/>
        <w:sz w:val="28"/>
        <w:szCs w:val="28"/>
      </w:rPr>
      <w:fldChar w:fldCharType="end"/>
    </w:r>
    <w:r>
      <w:rPr>
        <w:rStyle w:val="8"/>
        <w:rFonts w:hint="eastAsia"/>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A92DE"/>
    <w:multiLevelType w:val="singleLevel"/>
    <w:tmpl w:val="A09A92DE"/>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162BD4"/>
    <w:multiLevelType w:val="singleLevel"/>
    <w:tmpl w:val="51162BD4"/>
    <w:lvl w:ilvl="0" w:tentative="0">
      <w:start w:val="1"/>
      <w:numFmt w:val="decimal"/>
      <w:suff w:val="nothing"/>
      <w:lvlText w:val="%1、"/>
      <w:lvlJc w:val="left"/>
    </w:lvl>
  </w:abstractNum>
  <w:abstractNum w:abstractNumId="3">
    <w:nsid w:val="57E7C666"/>
    <w:multiLevelType w:val="singleLevel"/>
    <w:tmpl w:val="57E7C666"/>
    <w:lvl w:ilvl="0" w:tentative="0">
      <w:start w:val="1"/>
      <w:numFmt w:val="decimal"/>
      <w:suff w:val="nothing"/>
      <w:lvlText w:val="%1、"/>
      <w:lvlJc w:val="left"/>
    </w:lvl>
  </w:abstractNum>
  <w:abstractNum w:abstractNumId="4">
    <w:nsid w:val="6596DEF7"/>
    <w:multiLevelType w:val="singleLevel"/>
    <w:tmpl w:val="6596DEF7"/>
    <w:lvl w:ilvl="0" w:tentative="0">
      <w:start w:val="2"/>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YWM1MjlmNmM2M2ZmN2JmZTJiOGJhYmMxYzAyOW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C6ADC"/>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22437F"/>
    <w:rsid w:val="03F5628D"/>
    <w:rsid w:val="051028C6"/>
    <w:rsid w:val="06FC5663"/>
    <w:rsid w:val="088756A6"/>
    <w:rsid w:val="0A8845E7"/>
    <w:rsid w:val="0BE14922"/>
    <w:rsid w:val="0D6E42F3"/>
    <w:rsid w:val="1005785C"/>
    <w:rsid w:val="10207F6F"/>
    <w:rsid w:val="110747DF"/>
    <w:rsid w:val="111A1B4D"/>
    <w:rsid w:val="123A13FB"/>
    <w:rsid w:val="13381937"/>
    <w:rsid w:val="14EF13D1"/>
    <w:rsid w:val="162E08A6"/>
    <w:rsid w:val="18F77908"/>
    <w:rsid w:val="1B8B2562"/>
    <w:rsid w:val="1BE90917"/>
    <w:rsid w:val="1F6138CF"/>
    <w:rsid w:val="1FAE3695"/>
    <w:rsid w:val="206A49B9"/>
    <w:rsid w:val="21725D08"/>
    <w:rsid w:val="21E645B7"/>
    <w:rsid w:val="224650EC"/>
    <w:rsid w:val="22FA4207"/>
    <w:rsid w:val="2C593EDF"/>
    <w:rsid w:val="2D9A181B"/>
    <w:rsid w:val="2E0221C2"/>
    <w:rsid w:val="305320D5"/>
    <w:rsid w:val="3150593A"/>
    <w:rsid w:val="32352486"/>
    <w:rsid w:val="341B5F16"/>
    <w:rsid w:val="37585548"/>
    <w:rsid w:val="39BA7DF4"/>
    <w:rsid w:val="3D1A6389"/>
    <w:rsid w:val="3EDF0B30"/>
    <w:rsid w:val="3FB97BF0"/>
    <w:rsid w:val="404228F2"/>
    <w:rsid w:val="419966F4"/>
    <w:rsid w:val="44FB7C21"/>
    <w:rsid w:val="4861349E"/>
    <w:rsid w:val="49352181"/>
    <w:rsid w:val="49B072C8"/>
    <w:rsid w:val="4DDA383D"/>
    <w:rsid w:val="4E88694A"/>
    <w:rsid w:val="4E9F3C82"/>
    <w:rsid w:val="50071A41"/>
    <w:rsid w:val="500B6A7C"/>
    <w:rsid w:val="51A87059"/>
    <w:rsid w:val="53AE0197"/>
    <w:rsid w:val="548F26AB"/>
    <w:rsid w:val="557B2D67"/>
    <w:rsid w:val="569357FD"/>
    <w:rsid w:val="5A9D5154"/>
    <w:rsid w:val="5BE3DD46"/>
    <w:rsid w:val="60B13450"/>
    <w:rsid w:val="6161517B"/>
    <w:rsid w:val="623A208C"/>
    <w:rsid w:val="62AE572A"/>
    <w:rsid w:val="64991D49"/>
    <w:rsid w:val="6BFE5686"/>
    <w:rsid w:val="6FC86089"/>
    <w:rsid w:val="702D55E3"/>
    <w:rsid w:val="70C92570"/>
    <w:rsid w:val="737A7719"/>
    <w:rsid w:val="73CB35BE"/>
    <w:rsid w:val="74E15BF8"/>
    <w:rsid w:val="76EFD9B0"/>
    <w:rsid w:val="776B7732"/>
    <w:rsid w:val="79816E84"/>
    <w:rsid w:val="7A1D31F9"/>
    <w:rsid w:val="7E045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qFormat/>
    <w:uiPriority w:val="99"/>
    <w:pPr>
      <w:snapToGrid w:val="0"/>
      <w:jc w:val="left"/>
    </w:pPr>
    <w:rPr>
      <w:sz w:val="18"/>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11334</Words>
  <Characters>14370</Characters>
  <Lines>69</Lines>
  <Paragraphs>19</Paragraphs>
  <TotalTime>7</TotalTime>
  <ScaleCrop>false</ScaleCrop>
  <LinksUpToDate>false</LinksUpToDate>
  <CharactersWithSpaces>15885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2020-07-02T18:32:00Z</dcterms:created>
  <dc:creator>李航 null</dc:creator>
  <cp:lastModifiedBy>kylin</cp:lastModifiedBy>
  <cp:lastPrinted>2022-07-28T04:55:00Z</cp:lastPrinted>
  <dcterms:modified xsi:type="dcterms:W3CDTF">2023-12-29T17:51:53Z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07C2B69502FE4FBE9827F41D380C3FD5_13</vt:lpwstr>
  </property>
</Properties>
</file>