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jc w:val="center"/>
        <w:rPr>
          <w:sz w:val="84"/>
          <w:szCs w:val="84"/>
        </w:rPr>
      </w:pPr>
      <w:r>
        <w:rPr>
          <w:rFonts w:hint="eastAsia"/>
          <w:sz w:val="84"/>
          <w:szCs w:val="84"/>
        </w:rPr>
        <w:t>湖南省质量技术评审中心</w:t>
      </w:r>
    </w:p>
    <w:p>
      <w:pPr>
        <w:pStyle w:val="12"/>
        <w:jc w:val="center"/>
        <w:rPr>
          <w:sz w:val="84"/>
          <w:szCs w:val="84"/>
        </w:rPr>
      </w:pP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第一部分湖南省质量技术评审中心单位概况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黑体"/>
          <w:b/>
          <w:color w:val="000000"/>
          <w:kern w:val="0"/>
          <w:sz w:val="28"/>
          <w:szCs w:val="28"/>
        </w:rPr>
        <w:sectPr>
          <w:footerReference r:id="rId4" w:type="first"/>
          <w:footerReference r:id="rId3" w:type="default"/>
          <w:pgSz w:w="11906" w:h="16838"/>
          <w:pgMar w:top="720" w:right="720" w:bottom="720" w:left="720" w:header="851" w:footer="992" w:gutter="0"/>
          <w:cols w:space="425" w:num="1"/>
          <w:docGrid w:type="lines" w:linePitch="312" w:charSpace="0"/>
        </w:sectPr>
      </w:pPr>
      <w:r>
        <w:rPr>
          <w:rFonts w:hint="eastAsia" w:ascii="黑体" w:hAnsi="黑体" w:eastAsia="黑体" w:cs="黑体"/>
          <w:b/>
          <w:color w:val="000000"/>
          <w:kern w:val="0"/>
          <w:sz w:val="28"/>
          <w:szCs w:val="28"/>
        </w:rPr>
        <w:t>第五部分附件</w:t>
      </w:r>
    </w:p>
    <w:p>
      <w:pPr>
        <w:pStyle w:val="12"/>
        <w:jc w:val="center"/>
        <w:rPr>
          <w:sz w:val="84"/>
          <w:szCs w:val="84"/>
        </w:rPr>
      </w:pPr>
      <w:r>
        <w:rPr>
          <w:rFonts w:hint="eastAsia"/>
          <w:sz w:val="84"/>
          <w:szCs w:val="84"/>
        </w:rPr>
        <w:t>第一部分</w:t>
      </w:r>
    </w:p>
    <w:p>
      <w:pPr>
        <w:pStyle w:val="12"/>
        <w:jc w:val="center"/>
        <w:rPr>
          <w:sz w:val="84"/>
          <w:szCs w:val="84"/>
        </w:rPr>
      </w:pPr>
    </w:p>
    <w:p>
      <w:pPr>
        <w:pStyle w:val="12"/>
        <w:jc w:val="center"/>
        <w:rPr>
          <w:sz w:val="84"/>
          <w:szCs w:val="84"/>
        </w:rPr>
      </w:pPr>
      <w:r>
        <w:rPr>
          <w:rFonts w:hint="eastAsia"/>
          <w:sz w:val="84"/>
          <w:szCs w:val="84"/>
        </w:rPr>
        <w:t>湖南省质量技术评审中心</w:t>
      </w:r>
    </w:p>
    <w:p>
      <w:pPr>
        <w:pStyle w:val="12"/>
        <w:jc w:val="center"/>
        <w:rPr>
          <w:rFonts w:hAnsi="黑体"/>
          <w:sz w:val="32"/>
          <w:szCs w:val="32"/>
        </w:rPr>
      </w:pPr>
      <w:r>
        <w:rPr>
          <w:rFonts w:hint="eastAsia"/>
          <w:sz w:val="84"/>
          <w:szCs w:val="84"/>
        </w:rPr>
        <w:t>单位概况</w:t>
      </w: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sectPr>
          <w:pgSz w:w="11906" w:h="16838"/>
          <w:pgMar w:top="720" w:right="720" w:bottom="720" w:left="720" w:header="851" w:footer="992" w:gutter="0"/>
          <w:cols w:space="425" w:num="1"/>
          <w:docGrid w:type="lines" w:linePitch="312" w:charSpace="0"/>
        </w:sectPr>
      </w:pPr>
    </w:p>
    <w:p>
      <w:pPr>
        <w:pStyle w:val="13"/>
        <w:numPr>
          <w:ilvl w:val="0"/>
          <w:numId w:val="1"/>
        </w:numPr>
        <w:ind w:firstLineChars="0"/>
        <w:jc w:val="left"/>
        <w:rPr>
          <w:rFonts w:asciiTheme="minorEastAsia" w:hAnsiTheme="minorEastAsia"/>
          <w:bCs/>
          <w:kern w:val="0"/>
          <w:sz w:val="32"/>
          <w:szCs w:val="32"/>
        </w:rPr>
      </w:pPr>
      <w:r>
        <w:rPr>
          <w:rFonts w:ascii="黑体" w:hAnsi="黑体" w:eastAsia="黑体"/>
          <w:sz w:val="32"/>
          <w:szCs w:val="32"/>
        </w:rPr>
        <w:t>部门职责</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湖南省质量技术评审中心（以下称评审中心）成立于2009年，是原省质监局下属的正处级差额拨款事业单位，原主要职能是与中国方圆标志认证集团的合作，推进湖南产品和管理体系认证工作。“三定”赋予的职能是为原质量技术监督系统开展质量综合管理、认证执法和认证监督管理提供技术支持，承担行政许可、产品和服务方面的技术评审等工作。</w:t>
      </w:r>
    </w:p>
    <w:p>
      <w:pPr>
        <w:widowControl/>
        <w:numPr>
          <w:ilvl w:val="0"/>
          <w:numId w:val="2"/>
        </w:numPr>
        <w:spacing w:line="600" w:lineRule="exact"/>
        <w:rPr>
          <w:rFonts w:ascii="黑体" w:hAnsi="黑体" w:eastAsia="黑体"/>
          <w:bCs/>
          <w:kern w:val="0"/>
          <w:sz w:val="32"/>
          <w:szCs w:val="32"/>
        </w:rPr>
      </w:pPr>
      <w:r>
        <w:rPr>
          <w:rFonts w:hint="eastAsia" w:ascii="黑体" w:hAnsi="黑体" w:eastAsia="黑体"/>
          <w:bCs/>
          <w:kern w:val="0"/>
          <w:sz w:val="32"/>
          <w:szCs w:val="32"/>
        </w:rPr>
        <w:t>机构设置及决算单位构成</w:t>
      </w:r>
    </w:p>
    <w:p>
      <w:pPr>
        <w:widowControl/>
        <w:spacing w:line="600" w:lineRule="exact"/>
        <w:ind w:firstLine="640" w:firstLineChars="200"/>
        <w:rPr>
          <w:rFonts w:asciiTheme="minorEastAsia" w:hAnsiTheme="minorEastAsia"/>
          <w:bCs/>
          <w:kern w:val="0"/>
          <w:sz w:val="32"/>
          <w:szCs w:val="32"/>
          <w:highlight w:val="yellow"/>
        </w:rPr>
      </w:pPr>
      <w:r>
        <w:rPr>
          <w:rFonts w:hint="eastAsia" w:asciiTheme="minorEastAsia" w:hAnsiTheme="minorEastAsia"/>
          <w:bCs/>
          <w:kern w:val="0"/>
          <w:sz w:val="32"/>
          <w:szCs w:val="32"/>
        </w:rPr>
        <w:t>（一）内设机构设置。本</w:t>
      </w:r>
      <w:r>
        <w:rPr>
          <w:rFonts w:asciiTheme="minorEastAsia" w:hAnsiTheme="minorEastAsia"/>
          <w:bCs/>
          <w:kern w:val="0"/>
          <w:sz w:val="32"/>
          <w:szCs w:val="32"/>
        </w:rPr>
        <w:t>单位内设</w:t>
      </w:r>
      <w:r>
        <w:rPr>
          <w:rFonts w:hint="eastAsia" w:asciiTheme="minorEastAsia" w:hAnsiTheme="minorEastAsia"/>
          <w:bCs/>
          <w:kern w:val="0"/>
          <w:sz w:val="32"/>
          <w:szCs w:val="32"/>
        </w:rPr>
        <w:t>3</w:t>
      </w:r>
      <w:r>
        <w:rPr>
          <w:rFonts w:asciiTheme="minorEastAsia" w:hAnsiTheme="minorEastAsia"/>
          <w:bCs/>
          <w:kern w:val="0"/>
          <w:sz w:val="32"/>
          <w:szCs w:val="32"/>
        </w:rPr>
        <w:t>个职能处室</w:t>
      </w:r>
      <w:r>
        <w:rPr>
          <w:rFonts w:hint="eastAsia" w:asciiTheme="minorEastAsia" w:hAnsiTheme="minorEastAsia"/>
          <w:bCs/>
          <w:kern w:val="0"/>
          <w:sz w:val="32"/>
          <w:szCs w:val="32"/>
        </w:rPr>
        <w:t>；内设机构包括：办公室、业务科、评审科。</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（二）决算单位构成。湖南省质量技术评审中心</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20年部门决算汇总公开单位构成包括：湖南省质量技术评审中心本级。</w:t>
      </w:r>
    </w:p>
    <w:p>
      <w:pPr>
        <w:widowControl/>
        <w:spacing w:line="600" w:lineRule="exact"/>
        <w:rPr>
          <w:rFonts w:asciiTheme="minorEastAsia" w:hAnsiTheme="minorEastAsia"/>
          <w:bCs/>
          <w:kern w:val="0"/>
          <w:sz w:val="32"/>
          <w:szCs w:val="32"/>
          <w:highlight w:val="yellow"/>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第二部分</w:t>
      </w:r>
    </w:p>
    <w:p>
      <w:pPr>
        <w:pStyle w:val="12"/>
        <w:jc w:val="center"/>
        <w:rPr>
          <w:sz w:val="84"/>
          <w:szCs w:val="84"/>
        </w:rPr>
      </w:pPr>
    </w:p>
    <w:p>
      <w:pPr>
        <w:pStyle w:val="12"/>
        <w:jc w:val="center"/>
        <w:rPr>
          <w:sz w:val="84"/>
          <w:szCs w:val="84"/>
        </w:rPr>
      </w:pPr>
      <w:r>
        <w:rPr>
          <w:rFonts w:hint="eastAsia"/>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部门：湖南省质量技术评审中心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232.98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402.28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336.61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0.30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八、住房保障支出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569.88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452.28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118.99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6.94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ind w:firstLine="2640" w:firstLineChars="1200"/>
              <w:jc w:val="right"/>
              <w:rPr>
                <w:rFonts w:ascii="宋体" w:hAnsi="宋体" w:eastAsia="宋体" w:cs="宋体"/>
                <w:kern w:val="0"/>
                <w:sz w:val="22"/>
              </w:rPr>
            </w:pPr>
            <w:r>
              <w:rPr>
                <w:rFonts w:hint="eastAsia" w:ascii="宋体" w:hAnsi="宋体" w:eastAsia="宋体" w:cs="宋体"/>
                <w:kern w:val="0"/>
                <w:sz w:val="22"/>
              </w:rPr>
              <w:t>5.55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576.82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kern w:val="0"/>
                <w:sz w:val="22"/>
              </w:rPr>
            </w:pPr>
            <w:r>
              <w:rPr>
                <w:rFonts w:hint="eastAsia" w:ascii="宋体" w:hAnsi="宋体" w:eastAsia="宋体" w:cs="宋体"/>
                <w:kern w:val="0"/>
                <w:sz w:val="22"/>
              </w:rPr>
              <w:t>576.82</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jc w:val="center"/>
        <w:rPr>
          <w:rFonts w:ascii="方正小标宋_GBK" w:hAnsi="黑体" w:eastAsia="方正小标宋_GBK"/>
          <w:sz w:val="36"/>
          <w:szCs w:val="32"/>
        </w:rPr>
      </w:pPr>
      <w:r>
        <w:rPr>
          <w:rFonts w:hint="eastAsia" w:ascii="方正小标宋_GBK" w:hAnsi="黑体" w:eastAsia="方正小标宋_GBK"/>
          <w:sz w:val="36"/>
          <w:szCs w:val="32"/>
        </w:rPr>
        <w:t>部门收入决算表</w:t>
      </w:r>
    </w:p>
    <w:p>
      <w:pPr>
        <w:widowControl/>
        <w:ind w:firstLine="630" w:firstLineChars="300"/>
        <w:jc w:val="left"/>
        <w:rPr>
          <w:rFonts w:eastAsia="仿宋_GB2312"/>
          <w:color w:val="000000"/>
          <w:kern w:val="0"/>
          <w:szCs w:val="21"/>
        </w:rPr>
      </w:pPr>
      <w:r>
        <w:rPr>
          <w:rFonts w:hint="eastAsia" w:eastAsia="仿宋_GB2312"/>
          <w:color w:val="000000"/>
          <w:kern w:val="0"/>
          <w:szCs w:val="21"/>
        </w:rPr>
        <w:t xml:space="preserve">                                                                                                                             公开</w:t>
      </w:r>
      <w:r>
        <w:rPr>
          <w:rFonts w:eastAsia="仿宋_GB2312"/>
          <w:color w:val="000000"/>
          <w:kern w:val="0"/>
          <w:szCs w:val="21"/>
        </w:rPr>
        <w:t>02</w:t>
      </w:r>
      <w:r>
        <w:rPr>
          <w:rFonts w:hint="eastAsia" w:eastAsia="仿宋_GB2312"/>
          <w:color w:val="000000"/>
          <w:kern w:val="0"/>
          <w:szCs w:val="21"/>
        </w:rPr>
        <w:t>表</w:t>
      </w:r>
    </w:p>
    <w:p>
      <w:pPr>
        <w:widowControl/>
        <w:ind w:right="630"/>
        <w:jc w:val="right"/>
        <w:rPr>
          <w:rFonts w:eastAsia="仿宋_GB2312"/>
          <w:color w:val="000000"/>
          <w:kern w:val="0"/>
          <w:szCs w:val="21"/>
        </w:rPr>
      </w:pPr>
      <w:r>
        <w:rPr>
          <w:rFonts w:hint="eastAsia" w:eastAsia="仿宋_GB2312"/>
          <w:color w:val="000000"/>
          <w:kern w:val="0"/>
          <w:szCs w:val="21"/>
        </w:rPr>
        <w:t>部门：湖南省质量技术评审中心                                                                                               单位：万元</w:t>
      </w:r>
    </w:p>
    <w:tbl>
      <w:tblPr>
        <w:tblStyle w:val="7"/>
        <w:tblW w:w="13813" w:type="dxa"/>
        <w:jc w:val="center"/>
        <w:tblLayout w:type="fixed"/>
        <w:tblCellMar>
          <w:top w:w="0" w:type="dxa"/>
          <w:left w:w="108" w:type="dxa"/>
          <w:bottom w:w="0" w:type="dxa"/>
          <w:right w:w="108" w:type="dxa"/>
        </w:tblCellMar>
      </w:tblPr>
      <w:tblGrid>
        <w:gridCol w:w="1197"/>
        <w:gridCol w:w="3793"/>
        <w:gridCol w:w="1144"/>
        <w:gridCol w:w="1234"/>
        <w:gridCol w:w="1197"/>
        <w:gridCol w:w="1275"/>
        <w:gridCol w:w="1155"/>
        <w:gridCol w:w="1455"/>
        <w:gridCol w:w="1363"/>
      </w:tblGrid>
      <w:tr>
        <w:tblPrEx>
          <w:tblCellMar>
            <w:top w:w="0" w:type="dxa"/>
            <w:left w:w="108" w:type="dxa"/>
            <w:bottom w:w="0" w:type="dxa"/>
            <w:right w:w="108" w:type="dxa"/>
          </w:tblCellMar>
        </w:tblPrEx>
        <w:trPr>
          <w:trHeight w:val="450" w:hRule="atLeast"/>
          <w:jc w:val="center"/>
        </w:trPr>
        <w:tc>
          <w:tcPr>
            <w:tcW w:w="4990" w:type="dxa"/>
            <w:gridSpan w:val="2"/>
            <w:tcBorders>
              <w:top w:val="single" w:color="auto" w:sz="8" w:space="0"/>
              <w:left w:val="single" w:color="auto" w:sz="8" w:space="0"/>
              <w:bottom w:val="single" w:color="auto" w:sz="4" w:space="0"/>
              <w:right w:val="nil"/>
            </w:tcBorders>
            <w:vAlign w:val="center"/>
          </w:tcPr>
          <w:p>
            <w:pPr>
              <w:widowControl/>
              <w:jc w:val="center"/>
              <w:rPr>
                <w:rFonts w:eastAsia="仿宋_GB2312"/>
                <w:kern w:val="0"/>
                <w:szCs w:val="21"/>
              </w:rPr>
            </w:pPr>
            <w:r>
              <w:rPr>
                <w:rFonts w:hint="eastAsia" w:eastAsia="仿宋_GB2312"/>
                <w:kern w:val="0"/>
                <w:szCs w:val="21"/>
              </w:rPr>
              <w:t>项目</w:t>
            </w:r>
          </w:p>
        </w:tc>
        <w:tc>
          <w:tcPr>
            <w:tcW w:w="1144"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本年收入合计</w:t>
            </w:r>
          </w:p>
        </w:tc>
        <w:tc>
          <w:tcPr>
            <w:tcW w:w="1234"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财政拨款收入</w:t>
            </w:r>
          </w:p>
        </w:tc>
        <w:tc>
          <w:tcPr>
            <w:tcW w:w="119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上级补助收入</w:t>
            </w:r>
          </w:p>
        </w:tc>
        <w:tc>
          <w:tcPr>
            <w:tcW w:w="127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事业收入</w:t>
            </w:r>
          </w:p>
        </w:tc>
        <w:tc>
          <w:tcPr>
            <w:tcW w:w="115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经营收入</w:t>
            </w:r>
          </w:p>
        </w:tc>
        <w:tc>
          <w:tcPr>
            <w:tcW w:w="145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附属单位上缴收入</w:t>
            </w:r>
          </w:p>
        </w:tc>
        <w:tc>
          <w:tcPr>
            <w:tcW w:w="1363"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3793"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14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1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6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312"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eastAsia="仿宋_GB2312"/>
                <w:kern w:val="0"/>
                <w:szCs w:val="21"/>
              </w:rPr>
            </w:pPr>
          </w:p>
        </w:tc>
        <w:tc>
          <w:tcPr>
            <w:tcW w:w="3793"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14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3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1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7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1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6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CellMar>
            <w:top w:w="0" w:type="dxa"/>
            <w:left w:w="108" w:type="dxa"/>
            <w:bottom w:w="0" w:type="dxa"/>
            <w:right w:w="108" w:type="dxa"/>
          </w:tblCellMar>
        </w:tblPrEx>
        <w:trPr>
          <w:trHeight w:val="450" w:hRule="atLeast"/>
          <w:jc w:val="center"/>
        </w:trPr>
        <w:tc>
          <w:tcPr>
            <w:tcW w:w="4990"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1</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2</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4</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5</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6</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eastAsia="仿宋_GB2312"/>
                <w:kern w:val="0"/>
                <w:szCs w:val="21"/>
              </w:rPr>
              <w:t>7</w:t>
            </w:r>
          </w:p>
        </w:tc>
      </w:tr>
      <w:tr>
        <w:tblPrEx>
          <w:tblCellMar>
            <w:top w:w="0" w:type="dxa"/>
            <w:left w:w="108" w:type="dxa"/>
            <w:bottom w:w="0" w:type="dxa"/>
            <w:right w:w="108" w:type="dxa"/>
          </w:tblCellMar>
        </w:tblPrEx>
        <w:trPr>
          <w:trHeight w:val="450" w:hRule="atLeast"/>
          <w:jc w:val="center"/>
        </w:trPr>
        <w:tc>
          <w:tcPr>
            <w:tcW w:w="4990" w:type="dxa"/>
            <w:gridSpan w:val="2"/>
            <w:tcBorders>
              <w:top w:val="nil"/>
              <w:left w:val="single" w:color="auto" w:sz="8" w:space="0"/>
              <w:bottom w:val="single" w:color="auto" w:sz="4" w:space="0"/>
              <w:right w:val="single" w:color="000000" w:sz="4"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569.88</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232.98</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0.30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201</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一般公共服务支出</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519.88</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182.98</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0.30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20138</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市场监督管理事务</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519.88</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182.98</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0.30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2013850</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事业运行</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183.28</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182.98</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0.30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2013899</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xml:space="preserve">  其他市场监督管理事务</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336.61</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336.61</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208</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社会保障和就业支出</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20805</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行政事业单位养老支出</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2080505</w:t>
            </w:r>
          </w:p>
        </w:tc>
        <w:tc>
          <w:tcPr>
            <w:tcW w:w="3793" w:type="dxa"/>
            <w:tcBorders>
              <w:top w:val="nil"/>
              <w:left w:val="nil"/>
              <w:bottom w:val="single" w:color="auto" w:sz="4" w:space="0"/>
              <w:right w:val="single" w:color="auto" w:sz="4" w:space="0"/>
            </w:tcBorders>
            <w:noWrap/>
            <w:vAlign w:val="center"/>
          </w:tcPr>
          <w:p>
            <w:pPr>
              <w:widowControl/>
              <w:ind w:firstLine="210" w:firstLineChars="100"/>
              <w:jc w:val="left"/>
              <w:rPr>
                <w:rFonts w:eastAsia="仿宋_GB2312"/>
                <w:kern w:val="0"/>
                <w:szCs w:val="21"/>
              </w:rPr>
            </w:pPr>
            <w:r>
              <w:rPr>
                <w:rFonts w:hint="eastAsia" w:eastAsia="仿宋_GB2312"/>
                <w:kern w:val="0"/>
                <w:szCs w:val="21"/>
              </w:rPr>
              <w:t>机关事业单位基本养老保险缴费支出</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221</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住房保障支出</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22102</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住房改革支出</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2210201</w:t>
            </w:r>
          </w:p>
        </w:tc>
        <w:tc>
          <w:tcPr>
            <w:tcW w:w="3793" w:type="dxa"/>
            <w:tcBorders>
              <w:top w:val="nil"/>
              <w:left w:val="nil"/>
              <w:bottom w:val="single" w:color="auto" w:sz="4" w:space="0"/>
              <w:right w:val="single" w:color="auto" w:sz="4" w:space="0"/>
            </w:tcBorders>
            <w:noWrap/>
            <w:vAlign w:val="center"/>
          </w:tcPr>
          <w:p>
            <w:pPr>
              <w:widowControl/>
              <w:jc w:val="left"/>
              <w:rPr>
                <w:rFonts w:eastAsia="仿宋_GB2312"/>
                <w:kern w:val="0"/>
                <w:szCs w:val="21"/>
              </w:rPr>
            </w:pPr>
            <w:r>
              <w:rPr>
                <w:rFonts w:hint="eastAsia" w:eastAsia="仿宋_GB2312"/>
                <w:kern w:val="0"/>
                <w:szCs w:val="21"/>
              </w:rPr>
              <w:t xml:space="preserve">  住房公积金</w:t>
            </w:r>
          </w:p>
        </w:tc>
        <w:tc>
          <w:tcPr>
            <w:tcW w:w="114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23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197"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27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1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55"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363" w:type="dxa"/>
            <w:tcBorders>
              <w:top w:val="nil"/>
              <w:left w:val="nil"/>
              <w:bottom w:val="single" w:color="auto" w:sz="4"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4" w:space="0"/>
              <w:left w:val="nil"/>
              <w:bottom w:val="nil"/>
              <w:right w:val="nil"/>
            </w:tcBorders>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center"/>
        <w:rPr>
          <w:rFonts w:eastAsia="方正小标宋_GBK"/>
          <w:color w:val="000000"/>
          <w:kern w:val="0"/>
          <w:sz w:val="36"/>
          <w:szCs w:val="36"/>
        </w:rPr>
      </w:pPr>
      <w:r>
        <w:rPr>
          <w:rFonts w:ascii="Times New Roman" w:hAnsi="Times New Roman" w:eastAsia="黑体" w:cs="Times New Roman"/>
          <w:bCs/>
          <w:kern w:val="0"/>
          <w:sz w:val="32"/>
          <w:szCs w:val="32"/>
        </w:rPr>
        <w:br w:type="page"/>
      </w:r>
      <w:r>
        <w:rPr>
          <w:rFonts w:hint="eastAsia" w:eastAsia="方正小标宋_GBK"/>
          <w:color w:val="000000"/>
          <w:kern w:val="0"/>
          <w:sz w:val="36"/>
          <w:szCs w:val="36"/>
        </w:rPr>
        <w:t>部门支出决算表</w:t>
      </w:r>
    </w:p>
    <w:p>
      <w:pPr>
        <w:widowControl/>
        <w:spacing w:line="400" w:lineRule="exact"/>
        <w:ind w:firstLine="600" w:firstLineChars="300"/>
        <w:jc w:val="left"/>
        <w:rPr>
          <w:rFonts w:eastAsia="仿宋_GB2312"/>
          <w:color w:val="000000"/>
          <w:kern w:val="0"/>
          <w:sz w:val="20"/>
          <w:szCs w:val="20"/>
        </w:rPr>
      </w:pPr>
      <w:r>
        <w:rPr>
          <w:rFonts w:hint="eastAsia" w:eastAsia="仿宋_GB2312"/>
          <w:color w:val="000000"/>
          <w:kern w:val="0"/>
          <w:sz w:val="20"/>
          <w:szCs w:val="20"/>
        </w:rPr>
        <w:t xml:space="preserve">                                                                                                                                    公开</w:t>
      </w:r>
      <w:r>
        <w:rPr>
          <w:rFonts w:eastAsia="仿宋_GB2312"/>
          <w:color w:val="000000"/>
          <w:kern w:val="0"/>
          <w:sz w:val="20"/>
          <w:szCs w:val="20"/>
        </w:rPr>
        <w:t>03</w:t>
      </w:r>
      <w:r>
        <w:rPr>
          <w:rFonts w:hint="eastAsia" w:eastAsia="仿宋_GB2312"/>
          <w:color w:val="000000"/>
          <w:kern w:val="0"/>
          <w:sz w:val="20"/>
          <w:szCs w:val="20"/>
        </w:rPr>
        <w:t>表</w:t>
      </w:r>
    </w:p>
    <w:p>
      <w:pPr>
        <w:widowControl/>
        <w:wordWrap w:val="0"/>
        <w:spacing w:line="400" w:lineRule="exact"/>
        <w:ind w:right="700"/>
        <w:jc w:val="right"/>
        <w:rPr>
          <w:rFonts w:eastAsia="仿宋_GB2312"/>
          <w:color w:val="000000"/>
          <w:kern w:val="0"/>
          <w:sz w:val="20"/>
          <w:szCs w:val="20"/>
        </w:rPr>
      </w:pPr>
      <w:r>
        <w:rPr>
          <w:rFonts w:hint="eastAsia" w:eastAsia="仿宋_GB2312"/>
          <w:color w:val="000000"/>
          <w:kern w:val="0"/>
          <w:sz w:val="20"/>
          <w:szCs w:val="20"/>
        </w:rPr>
        <w:t xml:space="preserve">     部门：湖南省质量技术评审中心     </w:t>
      </w:r>
      <w:r>
        <w:rPr>
          <w:rFonts w:hint="eastAsia" w:ascii="宋体" w:hAnsi="宋体" w:eastAsia="宋体" w:cs="宋体"/>
          <w:color w:val="000000"/>
          <w:kern w:val="0"/>
          <w:sz w:val="20"/>
          <w:szCs w:val="20"/>
        </w:rPr>
        <w:t xml:space="preserve">                                                                                                </w:t>
      </w:r>
      <w:r>
        <w:rPr>
          <w:rFonts w:hint="eastAsia" w:eastAsia="仿宋_GB2312"/>
          <w:color w:val="000000"/>
          <w:kern w:val="0"/>
          <w:szCs w:val="21"/>
        </w:rPr>
        <w:t>单位：</w:t>
      </w:r>
      <w:r>
        <w:rPr>
          <w:rFonts w:hint="eastAsia" w:eastAsia="仿宋_GB2312"/>
          <w:color w:val="000000"/>
          <w:kern w:val="0"/>
          <w:sz w:val="20"/>
          <w:szCs w:val="20"/>
        </w:rPr>
        <w:t>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33"/>
        <w:gridCol w:w="3884"/>
        <w:gridCol w:w="1244"/>
        <w:gridCol w:w="1534"/>
        <w:gridCol w:w="1400"/>
        <w:gridCol w:w="1677"/>
        <w:gridCol w:w="1489"/>
        <w:gridCol w:w="16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11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项目</w:t>
            </w:r>
          </w:p>
        </w:tc>
        <w:tc>
          <w:tcPr>
            <w:tcW w:w="124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本年支出合计</w:t>
            </w:r>
          </w:p>
        </w:tc>
        <w:tc>
          <w:tcPr>
            <w:tcW w:w="153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基本支出</w:t>
            </w:r>
          </w:p>
        </w:tc>
        <w:tc>
          <w:tcPr>
            <w:tcW w:w="14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项目支出</w:t>
            </w:r>
          </w:p>
        </w:tc>
        <w:tc>
          <w:tcPr>
            <w:tcW w:w="167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上缴上级支出</w:t>
            </w:r>
          </w:p>
        </w:tc>
        <w:tc>
          <w:tcPr>
            <w:tcW w:w="148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经营支出</w:t>
            </w:r>
          </w:p>
        </w:tc>
        <w:tc>
          <w:tcPr>
            <w:tcW w:w="162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388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2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5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4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67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48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62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388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2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53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4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67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48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62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117"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栏次</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1</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2</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3</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4</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5</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117"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合计</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452.28</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224.67</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217.61</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201</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一般公共服务支出</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402.28</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174.67</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217.61</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20138</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市场监督管理事务</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402.28</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174.67</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217.61</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2013850</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xml:space="preserve">  事业运行</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184.67</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174.67</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10.00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2013899</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xml:space="preserve">  其他市场监督管理事务</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217.61</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217.61</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208</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社会保障和就业支出</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20805</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行政事业单位养老支出</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2080505</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xml:space="preserve">  机关事业单位基本养老保险缴费支出</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221</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住房保障支出</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22102</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住房改革支出</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33"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2210201</w:t>
            </w:r>
          </w:p>
        </w:tc>
        <w:tc>
          <w:tcPr>
            <w:tcW w:w="388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rPr>
            </w:pPr>
            <w:r>
              <w:rPr>
                <w:rFonts w:hint="eastAsia" w:eastAsia="仿宋_GB2312"/>
                <w:kern w:val="0"/>
                <w:szCs w:val="21"/>
              </w:rPr>
              <w:t xml:space="preserve">  住房公积金</w:t>
            </w:r>
          </w:p>
        </w:tc>
        <w:tc>
          <w:tcPr>
            <w:tcW w:w="124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53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25.00</w:t>
            </w:r>
          </w:p>
        </w:tc>
        <w:tc>
          <w:tcPr>
            <w:tcW w:w="140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77"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48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c>
          <w:tcPr>
            <w:tcW w:w="162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rPr>
            </w:pPr>
            <w:r>
              <w:rPr>
                <w:rFonts w:hint="eastAsia" w:eastAsia="仿宋_GB2312"/>
                <w:kern w:val="0"/>
                <w:szCs w:val="21"/>
              </w:rPr>
              <w:t>0.00</w:t>
            </w:r>
          </w:p>
        </w:tc>
      </w:tr>
    </w:tbl>
    <w:p>
      <w:pPr>
        <w:widowControl/>
        <w:ind w:firstLine="630" w:firstLineChars="300"/>
        <w:jc w:val="left"/>
        <w:rPr>
          <w:rFonts w:ascii="Times New Roman" w:hAnsi="Times New Roman" w:eastAsia="方正小标宋_GBK" w:cs="Times New Roman"/>
          <w:color w:val="000000"/>
          <w:kern w:val="0"/>
          <w:sz w:val="36"/>
          <w:szCs w:val="21"/>
        </w:rPr>
      </w:pPr>
      <w:r>
        <w:rPr>
          <w:rFonts w:hint="eastAsia" w:eastAsia="仿宋_GB2312"/>
          <w:kern w:val="0"/>
          <w:szCs w:val="21"/>
        </w:rPr>
        <w:t>注：本表反映部门本年度各项支出情况。</w:t>
      </w:r>
    </w:p>
    <w:p>
      <w:pPr>
        <w:widowControl/>
        <w:rPr>
          <w:rFonts w:ascii="Times New Roman" w:hAnsi="Times New Roman" w:eastAsia="方正小标宋_GBK" w:cs="Times New Roman"/>
          <w:color w:val="000000"/>
          <w:kern w:val="0"/>
          <w:sz w:val="36"/>
          <w:szCs w:val="21"/>
        </w:rPr>
      </w:pPr>
    </w:p>
    <w:tbl>
      <w:tblPr>
        <w:tblStyle w:val="7"/>
        <w:tblW w:w="15521" w:type="dxa"/>
        <w:tblInd w:w="93" w:type="dxa"/>
        <w:tblLayout w:type="fixed"/>
        <w:tblCellMar>
          <w:top w:w="0" w:type="dxa"/>
          <w:left w:w="108" w:type="dxa"/>
          <w:bottom w:w="0" w:type="dxa"/>
          <w:right w:w="108" w:type="dxa"/>
        </w:tblCellMar>
      </w:tblPr>
      <w:tblGrid>
        <w:gridCol w:w="3595"/>
        <w:gridCol w:w="436"/>
        <w:gridCol w:w="1288"/>
        <w:gridCol w:w="3201"/>
        <w:gridCol w:w="632"/>
        <w:gridCol w:w="435"/>
        <w:gridCol w:w="1573"/>
        <w:gridCol w:w="1394"/>
        <w:gridCol w:w="1394"/>
        <w:gridCol w:w="1573"/>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部门：湖南省质量技术评审中心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1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0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232.98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184.67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184.67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8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232.98　</w:t>
            </w:r>
          </w:p>
        </w:tc>
        <w:tc>
          <w:tcPr>
            <w:tcW w:w="32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234.67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234.67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6.76　</w:t>
            </w:r>
          </w:p>
        </w:tc>
        <w:tc>
          <w:tcPr>
            <w:tcW w:w="320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6.76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0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8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239.74　</w:t>
            </w:r>
          </w:p>
        </w:tc>
        <w:tc>
          <w:tcPr>
            <w:tcW w:w="320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239.74</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239.74</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ind w:firstLine="420" w:firstLineChars="2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湖南省质量技术评审中心    </w:t>
      </w:r>
      <w:r>
        <w:rPr>
          <w:rFonts w:hint="eastAsia" w:ascii="宋体" w:hAnsi="宋体" w:eastAsia="宋体" w:cs="宋体"/>
          <w:color w:val="000000"/>
          <w:kern w:val="0"/>
          <w:sz w:val="20"/>
          <w:szCs w:val="20"/>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882"/>
        <w:gridCol w:w="2989"/>
        <w:gridCol w:w="3148"/>
        <w:gridCol w:w="3000"/>
      </w:tblGrid>
      <w:tr>
        <w:tblPrEx>
          <w:tblCellMar>
            <w:top w:w="0" w:type="dxa"/>
            <w:left w:w="108" w:type="dxa"/>
            <w:bottom w:w="0" w:type="dxa"/>
            <w:right w:w="108" w:type="dxa"/>
          </w:tblCellMar>
        </w:tblPrEx>
        <w:trPr>
          <w:trHeight w:val="405" w:hRule="atLeast"/>
          <w:jc w:val="center"/>
        </w:trPr>
        <w:tc>
          <w:tcPr>
            <w:tcW w:w="508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13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8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8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14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4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8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8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4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08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08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234.67</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201</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一般公共服务支出</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184.67</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174.67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20138</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市场监督管理事务</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184.67</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174.67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2013850</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 xml:space="preserve">  事业运行</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184.67</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174.67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208</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社会保障和就业支出</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20805</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行政事业单位养老支出</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2080505</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 xml:space="preserve">  机关事业单位基本养老保险缴费支出</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221</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住房保障支出</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22102</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住房改革支出</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2210201</w:t>
            </w:r>
          </w:p>
        </w:tc>
        <w:tc>
          <w:tcPr>
            <w:tcW w:w="3882"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Cs w:val="21"/>
              </w:rPr>
            </w:pPr>
            <w:r>
              <w:rPr>
                <w:rFonts w:hint="eastAsia" w:eastAsia="仿宋_GB2312"/>
                <w:kern w:val="0"/>
                <w:szCs w:val="21"/>
              </w:rPr>
              <w:t xml:space="preserve">  住房公积金</w:t>
            </w:r>
          </w:p>
        </w:tc>
        <w:tc>
          <w:tcPr>
            <w:tcW w:w="29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14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autofit"/>
        <w:tblCellMar>
          <w:top w:w="0" w:type="dxa"/>
          <w:left w:w="108" w:type="dxa"/>
          <w:bottom w:w="0" w:type="dxa"/>
          <w:right w:w="108" w:type="dxa"/>
        </w:tblCellMar>
      </w:tblPr>
      <w:tblGrid>
        <w:gridCol w:w="959"/>
        <w:gridCol w:w="3118"/>
        <w:gridCol w:w="851"/>
        <w:gridCol w:w="1134"/>
        <w:gridCol w:w="2835"/>
        <w:gridCol w:w="992"/>
        <w:gridCol w:w="992"/>
        <w:gridCol w:w="3977"/>
        <w:gridCol w:w="756"/>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 xml:space="preserve">湖南省质量技术评审中心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759"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经济分类科目编码</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科目名称</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决算数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经济分类科目编码</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决算数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经济分类科目编码</w:t>
            </w:r>
          </w:p>
        </w:tc>
        <w:tc>
          <w:tcPr>
            <w:tcW w:w="3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决算数</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工资福利支出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164.29</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商品和服务支出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60.38</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307</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30101</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基本工资</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32.05</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办公费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6.86</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30701</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30102</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津贴补贴</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0.32</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印刷费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3.87</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30702</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30103</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奖金</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15.02</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咨询费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8.40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30106</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伙食补助费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4.38</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手续费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31001</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30107</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绩效工资</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51.83</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水费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31002</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30108</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机关事业单位基本养老保险缴费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16.60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电费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31003</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30109</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职业年金缴费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0.82</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邮电费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1.02</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31005</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30110</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职工基本医疗保险缴费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9.79</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取暖费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31006</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30111</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公务员医疗补助缴费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30209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物业管理费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6.34</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31007</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30112</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其他社会保障缴费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2.10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差旅费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3.99</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31008</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30113</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住房公积金</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25.00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30212</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因公出国（境）费用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31009</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30114</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医疗费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30213</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维修（护）费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2.32</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31010</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30199</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其他工资福利支出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6.38</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租赁费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31011</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对个人和家庭的补助</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会议费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31012</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30301</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离休费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培训费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31013</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30302</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退休费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公务接待费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31019</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63"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30303</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退职（役）费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30218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专用材料费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31021</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30304</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抚恤金</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30224</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被装购置费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31022</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30305</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生活补助</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30225</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专用燃料费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31099</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30306</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救济费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30226</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劳务费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8.26</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399</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30307</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医疗费补助</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30227</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委托业务费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39906</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30308</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助学金</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30228</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工会经费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39907</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30309</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奖励金</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30229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福利费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4.37</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39908</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30310</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个人农业生产补贴</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30231</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公务用车运行维护费</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39999</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30311</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代缴社会保险费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30239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其他交通费用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10.20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30399</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其他对个人和家庭的补助</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30240</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税金及附加费用</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0.00</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p>
        </w:tc>
      </w:tr>
      <w:tr>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w:t>
            </w:r>
          </w:p>
        </w:tc>
        <w:tc>
          <w:tcPr>
            <w:tcW w:w="31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30299</w:t>
            </w:r>
          </w:p>
        </w:tc>
        <w:tc>
          <w:tcPr>
            <w:tcW w:w="28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20"/>
              </w:rPr>
            </w:pPr>
            <w:r>
              <w:rPr>
                <w:rFonts w:hint="eastAsia" w:ascii="宋体" w:hAnsi="宋体" w:eastAsia="宋体" w:cs="宋体"/>
                <w:color w:val="000000"/>
                <w:kern w:val="0"/>
                <w:sz w:val="18"/>
                <w:szCs w:val="20"/>
              </w:rPr>
              <w:t xml:space="preserve">  其他商品和服务支出</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4.77</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97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p>
        </w:tc>
      </w:tr>
      <w:tr>
        <w:tblPrEx>
          <w:tblCellMar>
            <w:top w:w="0" w:type="dxa"/>
            <w:left w:w="108" w:type="dxa"/>
            <w:bottom w:w="0" w:type="dxa"/>
            <w:right w:w="108" w:type="dxa"/>
          </w:tblCellMar>
        </w:tblPrEx>
        <w:trPr>
          <w:trHeight w:val="284" w:hRule="exact"/>
        </w:trPr>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人员经费合计</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164.29</w:t>
            </w:r>
          </w:p>
        </w:tc>
        <w:tc>
          <w:tcPr>
            <w:tcW w:w="993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60.38</w:t>
            </w:r>
          </w:p>
        </w:tc>
      </w:tr>
      <w:tr>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sectPr>
          <w:pgSz w:w="16838" w:h="11906" w:orient="landscape"/>
          <w:pgMar w:top="720" w:right="720" w:bottom="720" w:left="720" w:header="851" w:footer="992" w:gutter="0"/>
          <w:cols w:space="425" w:num="1"/>
          <w:docGrid w:type="lines" w:linePitch="312" w:charSpace="0"/>
        </w:sect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color w:val="000000"/>
          <w:kern w:val="0"/>
          <w:sz w:val="20"/>
          <w:szCs w:val="20"/>
        </w:rPr>
        <w:t>湖南省质量技术评审中心</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right="420" w:firstLine="420" w:firstLineChars="20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公开08表</w:t>
      </w:r>
    </w:p>
    <w:p>
      <w:pPr>
        <w:widowControl/>
        <w:ind w:right="21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hint="eastAsia" w:ascii="Times New Roman" w:hAnsi="Times New Roman" w:eastAsia="仿宋_GB2312" w:cs="Times New Roman"/>
          <w:kern w:val="0"/>
          <w:szCs w:val="21"/>
        </w:rPr>
        <w:t>（说明：湖南省质量技术评审中心没有政府性基金收入，也没有使用政府性基金安排的支出，故本表无数据）</w:t>
      </w:r>
      <w:r>
        <w:rPr>
          <w:rFonts w:ascii="黑体" w:hAnsi="黑体" w:eastAsia="黑体"/>
          <w:szCs w:val="21"/>
        </w:rPr>
        <w:br w:type="page"/>
      </w:r>
    </w:p>
    <w:p>
      <w:pPr>
        <w:widowControl/>
        <w:jc w:val="center"/>
        <w:rPr>
          <w:rFonts w:eastAsia="方正小标宋_GBK"/>
          <w:kern w:val="0"/>
          <w:sz w:val="36"/>
          <w:szCs w:val="36"/>
        </w:rPr>
      </w:pPr>
      <w:r>
        <w:rPr>
          <w:rFonts w:hint="eastAsia" w:eastAsia="方正小标宋_GBK"/>
          <w:kern w:val="0"/>
          <w:sz w:val="36"/>
          <w:szCs w:val="36"/>
        </w:rPr>
        <w:t>国有资本经营预算财政拨款支出决算表</w:t>
      </w:r>
    </w:p>
    <w:p>
      <w:pPr>
        <w:widowControl/>
        <w:ind w:right="420" w:firstLine="420" w:firstLineChars="200"/>
        <w:jc w:val="left"/>
        <w:rPr>
          <w:rFonts w:eastAsia="仿宋_GB2312"/>
          <w:color w:val="000000"/>
          <w:kern w:val="0"/>
          <w:szCs w:val="21"/>
        </w:rPr>
      </w:pPr>
      <w:r>
        <w:rPr>
          <w:rFonts w:hint="eastAsia" w:eastAsia="仿宋_GB2312"/>
          <w:color w:val="000000"/>
          <w:kern w:val="0"/>
          <w:szCs w:val="21"/>
        </w:rPr>
        <w:t>部门：</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eastAsia="仿宋_GB2312"/>
          <w:color w:val="000000"/>
          <w:kern w:val="0"/>
          <w:szCs w:val="21"/>
        </w:rPr>
        <w:t xml:space="preserve">      </w:t>
      </w:r>
      <w:r>
        <w:rPr>
          <w:rFonts w:eastAsia="仿宋_GB2312"/>
          <w:color w:val="000000"/>
          <w:kern w:val="0"/>
          <w:szCs w:val="21"/>
        </w:rPr>
        <w:t xml:space="preserve">                                                        </w:t>
      </w:r>
      <w:r>
        <w:rPr>
          <w:rFonts w:hint="eastAsia" w:eastAsia="仿宋_GB2312"/>
          <w:color w:val="000000"/>
          <w:kern w:val="0"/>
          <w:szCs w:val="21"/>
        </w:rPr>
        <w:t xml:space="preserve"> </w:t>
      </w:r>
      <w:r>
        <w:rPr>
          <w:rFonts w:eastAsia="仿宋_GB2312"/>
          <w:color w:val="000000"/>
          <w:kern w:val="0"/>
          <w:szCs w:val="21"/>
        </w:rPr>
        <w:t xml:space="preserve">   </w:t>
      </w:r>
      <w:r>
        <w:rPr>
          <w:rFonts w:hint="eastAsia" w:eastAsia="仿宋_GB2312"/>
          <w:color w:val="000000"/>
          <w:kern w:val="0"/>
          <w:szCs w:val="21"/>
        </w:rPr>
        <w:t xml:space="preserve">                                 </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rPr>
        <w:t>9表</w:t>
      </w:r>
    </w:p>
    <w:tbl>
      <w:tblPr>
        <w:tblStyle w:val="7"/>
        <w:tblpPr w:leftFromText="180" w:rightFromText="180" w:vertAnchor="text" w:horzAnchor="page" w:tblpX="1337" w:tblpY="649"/>
        <w:tblOverlap w:val="never"/>
        <w:tblW w:w="1441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61"/>
        <w:gridCol w:w="2165"/>
        <w:gridCol w:w="3279"/>
        <w:gridCol w:w="3279"/>
        <w:gridCol w:w="35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2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1008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216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327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合计</w:t>
            </w:r>
          </w:p>
        </w:tc>
        <w:tc>
          <w:tcPr>
            <w:tcW w:w="327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353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1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327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327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353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16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327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327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353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2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2</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4326"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无</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无　</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无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165"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165"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165"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0"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165"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21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2165"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27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353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bl>
    <w:p>
      <w:pPr>
        <w:widowControl/>
        <w:ind w:right="420"/>
        <w:jc w:val="right"/>
        <w:rPr>
          <w:rFonts w:eastAsia="仿宋_GB2312"/>
          <w:color w:val="000000"/>
          <w:kern w:val="0"/>
          <w:szCs w:val="21"/>
        </w:rPr>
      </w:pPr>
      <w:r>
        <w:rPr>
          <w:rFonts w:hint="eastAsia" w:eastAsia="仿宋_GB2312"/>
          <w:color w:val="000000"/>
          <w:kern w:val="0"/>
          <w:szCs w:val="21"/>
        </w:rPr>
        <w:t>单位：万元</w:t>
      </w:r>
    </w:p>
    <w:p>
      <w:pPr>
        <w:widowControl/>
        <w:jc w:val="right"/>
        <w:rPr>
          <w:rFonts w:eastAsia="仿宋_GB2312"/>
          <w:color w:val="000000"/>
          <w:kern w:val="0"/>
          <w:szCs w:val="21"/>
        </w:rPr>
      </w:pPr>
    </w:p>
    <w:p>
      <w:pPr>
        <w:widowControl/>
        <w:ind w:firstLine="210" w:firstLineChars="100"/>
        <w:rPr>
          <w:rFonts w:eastAsia="仿宋_GB2312"/>
          <w:color w:val="000000"/>
          <w:kern w:val="0"/>
          <w:szCs w:val="21"/>
        </w:rPr>
      </w:pPr>
      <w:r>
        <w:rPr>
          <w:rFonts w:hint="eastAsia" w:eastAsia="仿宋_GB2312"/>
          <w:color w:val="000000"/>
          <w:kern w:val="0"/>
          <w:szCs w:val="21"/>
        </w:rPr>
        <w:t>注：本表反映部门本年度国有资本经营预算财政拨款支出情况。</w:t>
      </w:r>
    </w:p>
    <w:p>
      <w:pPr>
        <w:widowControl/>
        <w:jc w:val="left"/>
        <w:rPr>
          <w:rFonts w:eastAsia="仿宋_GB2312"/>
          <w:kern w:val="0"/>
          <w:szCs w:val="21"/>
        </w:rPr>
      </w:pPr>
      <w:r>
        <w:rPr>
          <w:rFonts w:hint="eastAsia" w:eastAsia="仿宋_GB2312"/>
          <w:kern w:val="0"/>
          <w:szCs w:val="21"/>
        </w:rPr>
        <w:t>(说明：</w:t>
      </w:r>
      <w:r>
        <w:rPr>
          <w:rFonts w:hint="eastAsia" w:ascii="Times New Roman" w:hAnsi="Times New Roman" w:eastAsia="仿宋_GB2312" w:cs="Times New Roman"/>
          <w:color w:val="000000"/>
          <w:kern w:val="0"/>
          <w:szCs w:val="21"/>
        </w:rPr>
        <w:t>湖南省质量技术评审中心</w:t>
      </w:r>
      <w:r>
        <w:rPr>
          <w:rFonts w:hint="eastAsia" w:eastAsia="仿宋_GB2312"/>
          <w:kern w:val="0"/>
          <w:szCs w:val="21"/>
        </w:rPr>
        <w:t>没有国有资本经营预算财政拨款支出，故本表无数据</w:t>
      </w:r>
      <w:r>
        <w:rPr>
          <w:rFonts w:eastAsia="仿宋_GB2312"/>
          <w:kern w:val="0"/>
          <w:szCs w:val="21"/>
        </w:rPr>
        <w:t>)</w:t>
      </w:r>
      <w:r>
        <w:rPr>
          <w:rFonts w:hint="eastAsia" w:eastAsia="仿宋_GB2312"/>
          <w:kern w:val="0"/>
          <w:szCs w:val="21"/>
        </w:rPr>
        <w:t>。</w:t>
      </w:r>
    </w:p>
    <w:p>
      <w:pPr>
        <w:widowControl/>
        <w:ind w:firstLine="420" w:firstLineChars="200"/>
        <w:jc w:val="left"/>
        <w:rPr>
          <w:rFonts w:ascii="黑体" w:hAnsi="黑体" w:eastAsia="黑体"/>
          <w:szCs w:val="21"/>
        </w:rPr>
      </w:pPr>
    </w:p>
    <w:p>
      <w:pPr>
        <w:widowControl/>
        <w:ind w:firstLine="420" w:firstLineChars="200"/>
        <w:jc w:val="left"/>
        <w:rPr>
          <w:rFonts w:ascii="黑体" w:hAnsi="黑体" w:eastAsia="黑体"/>
          <w:szCs w:val="21"/>
        </w:rPr>
      </w:pPr>
    </w:p>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2020年度收、支总计576.82万元。与上年收、支总计465.10万元相比，增加111.72万元，增长24.02%，主要是因为本年度承接省局处室项目增多，经营收入增加。</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本年收入合计569.88万元，其中：财政拨款收入232.98万元，占40.88%；经营收入336.61万元，占59.07%；其他收入0.30万元，占0.1%。</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本年支出合计452.28万元，其中：基本支出224.67万元，占49.67%;项目支出10万元,占2.21%;经营支出217.61万元,占48.11%。</w:t>
      </w:r>
    </w:p>
    <w:p>
      <w:pPr>
        <w:pStyle w:val="12"/>
        <w:rPr>
          <w:rFonts w:hAnsi="黑体"/>
          <w:b/>
          <w:sz w:val="32"/>
          <w:szCs w:val="32"/>
        </w:rPr>
      </w:pPr>
      <w:r>
        <w:rPr>
          <w:rFonts w:hint="eastAsia" w:hAnsi="黑体"/>
          <w:b/>
          <w:sz w:val="32"/>
          <w:szCs w:val="32"/>
        </w:rPr>
        <w:t>四、财政拨款收入支出决算总体情况说明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2020年度财政拨款收、支总计239.74万元，与上年财政拨款收、支总计334.47万元相比，减少94.73万元,减少28.32%，主要是因为本年度一般公共预算收入减少。</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640" w:firstLineChars="200"/>
        <w:rPr>
          <w:rFonts w:asciiTheme="minorEastAsia" w:hAnsiTheme="minorEastAsia" w:eastAsiaTheme="minorEastAsia"/>
          <w:sz w:val="32"/>
          <w:szCs w:val="32"/>
          <w:highlight w:val="yellow"/>
        </w:rPr>
      </w:pPr>
      <w:r>
        <w:rPr>
          <w:rFonts w:hint="eastAsia" w:asciiTheme="minorEastAsia" w:hAnsiTheme="minorEastAsia" w:eastAsiaTheme="minorEastAsia"/>
          <w:sz w:val="32"/>
          <w:szCs w:val="32"/>
        </w:rPr>
        <w:t>2020年度财政拨款支出234.67万元，占本年支出合计的51.89%，与上年财政拨款支出306.39万元相比，财政拨款支出减少71.72万元，减少23.41%，主要是本单位本年度人员一进一出。</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2020年度财政拨款支出234.67万元，主要用于以下方面：一般公共服务支出184.67万元，占78.69%；社会保障和就业支出25万元，占10.65%;住房保障支出25万元,占10.65%。</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2020年度财政拨款支出年初预算数为217.91万元，支出决算数为234.67万元，完成年初预算的107.69%，其中：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1、一般公共服务支出（类）市场监督管理事务（款）事业运行（项）。</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年初预算为167.91万元，支出决算为184.67万元，完成年初预算的109.98%,支出决算数大于年初预算的主要原因是本年度业务量增加，公用经费增加。</w:t>
      </w:r>
    </w:p>
    <w:p>
      <w:pPr>
        <w:pStyle w:val="12"/>
        <w:numPr>
          <w:ilvl w:val="0"/>
          <w:numId w:val="3"/>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社会保障和就业支出（类）行政事业单位养老支出（款）机关事业单位基本养老保险缴费支出（项）。</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年初预算为25万元，支出决算为25万元，完成年初预算的100%。</w:t>
      </w:r>
    </w:p>
    <w:p>
      <w:pPr>
        <w:pStyle w:val="12"/>
        <w:numPr>
          <w:ilvl w:val="0"/>
          <w:numId w:val="3"/>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住房保障支出（类）住房改革支出（款）住房公积金（项）。</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年初预算为25万元，支出决算为25万元，完成年初预算的100%。</w:t>
      </w: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224.67万元，其中：人员经费164.2万元，占基本支出的73.08%,主要包括基本工资、津贴补贴、奖金、伙食补助费、绩效工资、机关事业单位基本养老保险缴费、职业年金缴费、职工基本医疗保险缴费、其他社会保障缴费、住房公积金、其他工资福利支出等；公用经费60.38万元，占基本支出的26.87%，主要包括办公费、印刷费、咨询费、邮电费、物业管理费、差旅费、维修（护）费、劳务费、福利费、其他交通费用、其他商品和服务支出等。</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“三公”经费财政拨款支出预算为0万元，支出决算为0万元，完成预算的0%，其中：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公务接待费支出预算为0万元，支出决算为0元。</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公务用车购置费及运行维护费支出预算为0万元，支出决算为0万元。</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2020年度“三公”经费财政拨款支出决算中，公务接待费支出决算0万元，占0%,因公出国（境）费支出决算0万元，占0%,公务用车购置费及运行维护费支出决算0万元，占0%。其中：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公务用车运行维护费0万元，截止2020年12月31日，我单位开支财政拨款的公务用车保有量为0辆。</w:t>
      </w:r>
    </w:p>
    <w:p>
      <w:pPr>
        <w:pStyle w:val="12"/>
        <w:rPr>
          <w:rFonts w:hAnsi="黑体"/>
          <w:b/>
          <w:sz w:val="32"/>
          <w:szCs w:val="32"/>
        </w:rPr>
      </w:pPr>
      <w:r>
        <w:rPr>
          <w:rFonts w:hint="eastAsia" w:hAnsi="黑体"/>
          <w:b/>
          <w:sz w:val="32"/>
          <w:szCs w:val="32"/>
        </w:rPr>
        <w:t>八、政府性基金预算收入支出决算情况</w:t>
      </w:r>
    </w:p>
    <w:p>
      <w:pPr>
        <w:pStyle w:val="12"/>
        <w:rPr>
          <w:rFonts w:asciiTheme="minorEastAsia" w:hAnsiTheme="minorEastAsia" w:eastAsiaTheme="minorEastAsia" w:cstheme="minorBidi"/>
          <w:color w:val="auto"/>
          <w:kern w:val="2"/>
          <w:sz w:val="32"/>
          <w:szCs w:val="32"/>
        </w:rPr>
      </w:pPr>
      <w:r>
        <w:rPr>
          <w:rFonts w:hint="eastAsia" w:asciiTheme="minorEastAsia" w:hAnsiTheme="minorEastAsia" w:eastAsiaTheme="minorEastAsia" w:cstheme="minorBidi"/>
          <w:color w:val="auto"/>
          <w:kern w:val="2"/>
          <w:sz w:val="32"/>
          <w:szCs w:val="32"/>
        </w:rPr>
        <w:t xml:space="preserve"> 湖南省质量技术评审中心没有政府性基金收入，也没有使用政府性基金安排的支出。</w:t>
      </w:r>
    </w:p>
    <w:p>
      <w:pPr>
        <w:pStyle w:val="12"/>
        <w:rPr>
          <w:rFonts w:hAnsi="黑体"/>
          <w:b/>
          <w:sz w:val="32"/>
          <w:szCs w:val="32"/>
        </w:rPr>
      </w:pPr>
      <w:r>
        <w:rPr>
          <w:rFonts w:hint="eastAsia" w:hAnsi="黑体"/>
          <w:b/>
          <w:sz w:val="32"/>
          <w:szCs w:val="32"/>
        </w:rPr>
        <w:t>九、关于机关运行经费支出说明</w:t>
      </w:r>
    </w:p>
    <w:p>
      <w:pPr>
        <w:pStyle w:val="12"/>
        <w:ind w:firstLine="320" w:firstLineChars="100"/>
        <w:rPr>
          <w:rFonts w:asciiTheme="minorEastAsia" w:hAnsiTheme="minorEastAsia" w:eastAsiaTheme="minorEastAsia" w:cstheme="minorBidi"/>
          <w:color w:val="auto"/>
          <w:kern w:val="2"/>
          <w:sz w:val="32"/>
          <w:szCs w:val="32"/>
        </w:rPr>
      </w:pPr>
      <w:r>
        <w:rPr>
          <w:rFonts w:hint="eastAsia" w:asciiTheme="minorEastAsia" w:hAnsiTheme="minorEastAsia" w:eastAsiaTheme="minorEastAsia"/>
          <w:sz w:val="32"/>
          <w:szCs w:val="32"/>
        </w:rPr>
        <w:t>本部门2020年度机</w:t>
      </w:r>
      <w:r>
        <w:rPr>
          <w:rFonts w:hint="eastAsia" w:asciiTheme="minorEastAsia" w:hAnsiTheme="minorEastAsia" w:eastAsiaTheme="minorEastAsia" w:cstheme="minorBidi"/>
          <w:color w:val="auto"/>
          <w:kern w:val="2"/>
          <w:sz w:val="32"/>
          <w:szCs w:val="32"/>
        </w:rPr>
        <w:t>关运行经费支出60.38万元</w:t>
      </w:r>
      <w:r>
        <w:rPr>
          <w:rFonts w:hint="eastAsia" w:asciiTheme="minorEastAsia" w:hAnsiTheme="minorEastAsia" w:eastAsiaTheme="minorEastAsia"/>
          <w:sz w:val="32"/>
          <w:szCs w:val="32"/>
        </w:rPr>
        <w:t>,</w:t>
      </w:r>
      <w:r>
        <w:rPr>
          <w:rFonts w:hint="eastAsia" w:asciiTheme="minorEastAsia" w:hAnsiTheme="minorEastAsia" w:eastAsiaTheme="minorEastAsia" w:cstheme="minorBidi"/>
          <w:color w:val="auto"/>
          <w:kern w:val="2"/>
          <w:sz w:val="32"/>
          <w:szCs w:val="32"/>
        </w:rPr>
        <w:t>比2019年机关运行经费支出77.98万元减少17.6万元，降低22.57%。主要原因是：本单位节约开支。</w:t>
      </w:r>
    </w:p>
    <w:p>
      <w:pPr>
        <w:pStyle w:val="12"/>
        <w:rPr>
          <w:rFonts w:hAnsi="黑体"/>
          <w:b/>
          <w:sz w:val="32"/>
          <w:szCs w:val="32"/>
        </w:rPr>
      </w:pPr>
      <w:r>
        <w:rPr>
          <w:rFonts w:hint="eastAsia" w:hAnsi="黑体"/>
          <w:b/>
          <w:sz w:val="32"/>
          <w:szCs w:val="32"/>
        </w:rPr>
        <w:t>十、一般性支出情况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2020年本部门开支会议费0万元</w:t>
      </w:r>
      <w:r>
        <w:rPr>
          <w:rFonts w:hint="eastAsia" w:asciiTheme="minorEastAsia" w:hAnsiTheme="minorEastAsia" w:eastAsiaTheme="minorEastAsia"/>
          <w:color w:val="auto"/>
          <w:sz w:val="32"/>
          <w:szCs w:val="32"/>
        </w:rPr>
        <w:t>；开支培训费0万元</w:t>
      </w:r>
      <w:r>
        <w:rPr>
          <w:rFonts w:hint="eastAsia" w:asciiTheme="minorEastAsia" w:hAnsiTheme="minorEastAsia" w:eastAsiaTheme="minorEastAsia"/>
          <w:sz w:val="32"/>
          <w:szCs w:val="32"/>
        </w:rPr>
        <w:t>。</w:t>
      </w:r>
    </w:p>
    <w:p>
      <w:pPr>
        <w:pStyle w:val="12"/>
        <w:rPr>
          <w:rFonts w:hAnsi="黑体"/>
          <w:b/>
          <w:color w:val="auto"/>
          <w:sz w:val="32"/>
          <w:szCs w:val="32"/>
        </w:rPr>
      </w:pPr>
      <w:r>
        <w:rPr>
          <w:rFonts w:hint="eastAsia" w:hAnsi="黑体"/>
          <w:b/>
          <w:sz w:val="32"/>
          <w:szCs w:val="32"/>
        </w:rPr>
        <w:t>十一、关于政府采购支出说明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12"/>
        <w:rPr>
          <w:rFonts w:hAnsi="黑体"/>
          <w:b/>
          <w:sz w:val="32"/>
          <w:szCs w:val="32"/>
        </w:rPr>
      </w:pPr>
      <w:r>
        <w:rPr>
          <w:rFonts w:hint="eastAsia" w:hAnsi="黑体"/>
          <w:b/>
          <w:sz w:val="32"/>
          <w:szCs w:val="32"/>
        </w:rPr>
        <w:t>十二、关于国有资产占用情况说明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12"/>
        <w:rPr>
          <w:rFonts w:hAnsi="黑体"/>
          <w:b/>
          <w:sz w:val="32"/>
          <w:szCs w:val="32"/>
        </w:rPr>
      </w:pPr>
      <w:r>
        <w:rPr>
          <w:rFonts w:hint="eastAsia" w:hAnsi="黑体"/>
          <w:b/>
          <w:sz w:val="32"/>
          <w:szCs w:val="32"/>
        </w:rPr>
        <w:t>十三、关于2020年度预算绩效情况的说明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本部门预算绩效管理开展情况、绩效目标和绩效评价报告等，详见附件：《2020年度湖南省质量技术评审中心整体支出绩效自评报告》</w:t>
      </w:r>
    </w:p>
    <w:p>
      <w:pPr>
        <w:pStyle w:val="12"/>
        <w:rPr>
          <w:rFonts w:hAnsi="黑体"/>
          <w:b/>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jc w:val="left"/>
        <w:rPr>
          <w:rFonts w:eastAsia="仿宋_GB2312"/>
          <w:kern w:val="0"/>
          <w:sz w:val="32"/>
          <w:szCs w:val="32"/>
        </w:rPr>
      </w:pPr>
      <w:r>
        <w:rPr>
          <w:rFonts w:hint="eastAsia" w:ascii="仿宋" w:hAnsi="仿宋" w:eastAsia="仿宋" w:cs="Times New Roman"/>
          <w:b/>
          <w:bCs/>
          <w:color w:val="000000"/>
          <w:kern w:val="0"/>
          <w:sz w:val="32"/>
          <w:szCs w:val="32"/>
        </w:rPr>
        <w:t>（一）一般公共预算财政拨款：</w:t>
      </w:r>
      <w:r>
        <w:rPr>
          <w:rFonts w:hint="eastAsia" w:ascii="仿宋" w:hAnsi="仿宋" w:eastAsia="仿宋" w:cs="Times New Roman"/>
          <w:color w:val="000000"/>
          <w:kern w:val="0"/>
          <w:sz w:val="32"/>
          <w:szCs w:val="32"/>
        </w:rPr>
        <w:t>本级财政部门当年拨付的财政预算资金。</w:t>
      </w:r>
    </w:p>
    <w:p>
      <w:pPr>
        <w:widowControl/>
        <w:spacing w:line="600" w:lineRule="exact"/>
        <w:ind w:firstLine="640" w:firstLineChars="200"/>
        <w:jc w:val="left"/>
        <w:rPr>
          <w:rFonts w:eastAsia="仿宋_GB2312"/>
          <w:kern w:val="0"/>
          <w:sz w:val="32"/>
          <w:szCs w:val="32"/>
        </w:rPr>
      </w:pPr>
      <w:r>
        <w:rPr>
          <w:rFonts w:hint="eastAsia" w:ascii="仿宋" w:hAnsi="仿宋" w:eastAsia="仿宋" w:cs="Times New Roman"/>
          <w:b/>
          <w:bCs/>
          <w:color w:val="000000"/>
          <w:kern w:val="0"/>
          <w:sz w:val="32"/>
          <w:szCs w:val="32"/>
        </w:rPr>
        <w:t>（二）其他收入：</w:t>
      </w:r>
      <w:r>
        <w:rPr>
          <w:rFonts w:hint="eastAsia" w:ascii="仿宋" w:hAnsi="仿宋" w:eastAsia="仿宋" w:cs="Times New Roman"/>
          <w:color w:val="000000"/>
          <w:kern w:val="0"/>
          <w:sz w:val="32"/>
          <w:szCs w:val="32"/>
        </w:rPr>
        <w:t>预算单位在“财政拨款、事业收入、经营收入、上级补助收入、附属单位缴款收入”等之外取得的各项收入。</w:t>
      </w:r>
    </w:p>
    <w:p>
      <w:pPr>
        <w:widowControl/>
        <w:spacing w:line="600" w:lineRule="exact"/>
        <w:ind w:firstLine="640" w:firstLineChars="200"/>
        <w:jc w:val="left"/>
        <w:rPr>
          <w:rFonts w:eastAsia="仿宋_GB2312"/>
          <w:kern w:val="0"/>
          <w:sz w:val="32"/>
          <w:szCs w:val="32"/>
        </w:rPr>
      </w:pPr>
      <w:r>
        <w:rPr>
          <w:rFonts w:hint="eastAsia" w:ascii="仿宋" w:hAnsi="仿宋" w:eastAsia="仿宋" w:cs="Times New Roman"/>
          <w:b/>
          <w:bCs/>
          <w:color w:val="000000"/>
          <w:kern w:val="0"/>
          <w:sz w:val="32"/>
          <w:szCs w:val="32"/>
        </w:rPr>
        <w:t>（三）基本支出：</w:t>
      </w:r>
      <w:r>
        <w:rPr>
          <w:rFonts w:hint="eastAsia" w:eastAsia="仿宋_GB2312"/>
          <w:kern w:val="0"/>
          <w:sz w:val="32"/>
          <w:szCs w:val="32"/>
        </w:rPr>
        <w:t>是预算</w:t>
      </w:r>
      <w:r>
        <w:rPr>
          <w:rFonts w:hint="eastAsia" w:ascii="仿宋" w:hAnsi="仿宋" w:eastAsia="仿宋" w:cs="Times New Roman"/>
          <w:color w:val="000000"/>
          <w:kern w:val="0"/>
          <w:sz w:val="32"/>
          <w:szCs w:val="32"/>
        </w:rPr>
        <w:t>单位为保障其正常运转，完成日常工作任务所发生的支出，包括人员支出和日常公用支出。</w:t>
      </w:r>
    </w:p>
    <w:p>
      <w:pPr>
        <w:widowControl/>
        <w:spacing w:line="600" w:lineRule="exact"/>
        <w:ind w:firstLine="640" w:firstLineChars="200"/>
        <w:jc w:val="left"/>
        <w:rPr>
          <w:rFonts w:eastAsia="仿宋_GB2312"/>
          <w:kern w:val="0"/>
          <w:sz w:val="32"/>
          <w:szCs w:val="32"/>
        </w:rPr>
      </w:pPr>
      <w:r>
        <w:rPr>
          <w:rFonts w:hint="eastAsia" w:ascii="仿宋" w:hAnsi="仿宋" w:eastAsia="仿宋" w:cs="Times New Roman"/>
          <w:b/>
          <w:bCs/>
          <w:color w:val="000000"/>
          <w:kern w:val="0"/>
          <w:sz w:val="32"/>
          <w:szCs w:val="32"/>
        </w:rPr>
        <w:t>（四）项目支出：</w:t>
      </w:r>
      <w:r>
        <w:rPr>
          <w:rFonts w:hint="eastAsia" w:eastAsia="仿宋_GB2312"/>
          <w:kern w:val="0"/>
          <w:sz w:val="32"/>
          <w:szCs w:val="32"/>
        </w:rPr>
        <w:t>是预算单位为完成其特定的行政工作任务或事业发展目标所发生的支出。</w:t>
      </w:r>
    </w:p>
    <w:p>
      <w:pPr>
        <w:widowControl/>
        <w:spacing w:line="600" w:lineRule="exact"/>
        <w:ind w:firstLine="640" w:firstLineChars="200"/>
        <w:jc w:val="left"/>
        <w:rPr>
          <w:rFonts w:eastAsia="仿宋_GB2312"/>
          <w:kern w:val="0"/>
          <w:sz w:val="32"/>
          <w:szCs w:val="32"/>
        </w:rPr>
      </w:pPr>
      <w:r>
        <w:rPr>
          <w:rFonts w:hint="eastAsia" w:ascii="仿宋" w:hAnsi="仿宋" w:eastAsia="仿宋" w:cs="Times New Roman"/>
          <w:b/>
          <w:bCs/>
          <w:color w:val="000000"/>
          <w:kern w:val="0"/>
          <w:sz w:val="32"/>
          <w:szCs w:val="32"/>
        </w:rPr>
        <w:t>（五）三公经费：</w:t>
      </w:r>
      <w:r>
        <w:rPr>
          <w:rFonts w:hint="eastAsia" w:eastAsia="仿宋_GB2312"/>
          <w:kern w:val="0"/>
          <w:sz w:val="32"/>
          <w:szCs w:val="32"/>
        </w:rPr>
        <w:t>政府部门用于财政拨款经费安排的因公出国（境）费用、公务用车购置及运行维护费用、公务接待费用。其中因公出国（境）费用反映单位公务出国（境）的住宿费、差旅费、伙食补助费、培训费等支出；公务用车购置及运行维护费用反映单位公务用车购置及维修费、燃料费、过路过桥费、保险费等支出；公务接待费反映单位按规定开支的各类公务接待（含外宾接待）支出。</w:t>
      </w:r>
    </w:p>
    <w:p>
      <w:pPr>
        <w:widowControl/>
        <w:spacing w:line="600" w:lineRule="exact"/>
        <w:ind w:firstLine="640" w:firstLineChars="200"/>
        <w:jc w:val="left"/>
        <w:rPr>
          <w:rFonts w:eastAsia="仿宋_GB2312"/>
          <w:kern w:val="0"/>
          <w:sz w:val="32"/>
          <w:szCs w:val="32"/>
        </w:rPr>
      </w:pPr>
      <w:r>
        <w:rPr>
          <w:rFonts w:hint="eastAsia" w:ascii="仿宋" w:hAnsi="仿宋" w:eastAsia="仿宋" w:cs="Times New Roman"/>
          <w:b/>
          <w:bCs/>
          <w:color w:val="000000"/>
          <w:kern w:val="0"/>
          <w:sz w:val="32"/>
          <w:szCs w:val="32"/>
        </w:rPr>
        <w:t>（六）机关运行经费：</w:t>
      </w:r>
      <w:r>
        <w:rPr>
          <w:rFonts w:hint="eastAsia" w:eastAsia="仿宋_GB2312"/>
          <w:kern w:val="0"/>
          <w:sz w:val="32"/>
          <w:szCs w:val="32"/>
        </w:rPr>
        <w:t>反映行政单位和参照公务员法管理事业单位履行一般行政管理职能、维持机关日常运转所必</w:t>
      </w:r>
      <w:r>
        <w:rPr>
          <w:rFonts w:hint="eastAsia" w:eastAsia="仿宋_GB2312"/>
          <w:kern w:val="0"/>
          <w:sz w:val="32"/>
          <w:szCs w:val="32"/>
          <w:lang w:eastAsia="zh-CN"/>
        </w:rPr>
        <w:t>需</w:t>
      </w:r>
      <w:r>
        <w:rPr>
          <w:rFonts w:hint="eastAsia" w:eastAsia="仿宋_GB2312"/>
          <w:kern w:val="0"/>
          <w:sz w:val="32"/>
          <w:szCs w:val="32"/>
        </w:rPr>
        <w:t>的，用公共预算财政拨款开支的费用，包括办公及印刷费、水电费、邮电费、取暖费、交通费、差旅费、会议费、福利费、物业管理费、日常维修费、专用材料费、一般购置费等费用。</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cs="黑体" w:asciiTheme="minorEastAsia" w:hAnsiTheme="minorEastAsia"/>
          <w:color w:val="000000"/>
          <w:kern w:val="0"/>
          <w:sz w:val="32"/>
          <w:szCs w:val="32"/>
        </w:rPr>
        <w:sectPr>
          <w:pgSz w:w="11906" w:h="16838"/>
          <w:pgMar w:top="720" w:right="720" w:bottom="720" w:left="720" w:header="851" w:footer="992" w:gutter="0"/>
          <w:cols w:space="425" w:num="1"/>
          <w:docGrid w:type="linesAndChars" w:linePitch="312" w:charSpace="0"/>
        </w:sectPr>
      </w:pPr>
    </w:p>
    <w:p>
      <w:pPr>
        <w:spacing w:line="600" w:lineRule="exact"/>
        <w:rPr>
          <w:rFonts w:eastAsia="黑体"/>
          <w:kern w:val="0"/>
          <w:sz w:val="32"/>
          <w:szCs w:val="32"/>
        </w:rPr>
      </w:pPr>
    </w:p>
    <w:p>
      <w:pPr>
        <w:spacing w:line="600" w:lineRule="exact"/>
        <w:rPr>
          <w:rFonts w:eastAsia="黑体"/>
          <w:kern w:val="0"/>
          <w:sz w:val="32"/>
          <w:szCs w:val="32"/>
        </w:rPr>
      </w:pPr>
    </w:p>
    <w:p>
      <w:pPr>
        <w:pStyle w:val="2"/>
        <w:jc w:val="center"/>
        <w:rPr>
          <w:sz w:val="84"/>
          <w:szCs w:val="84"/>
        </w:rPr>
      </w:pPr>
      <w:r>
        <w:rPr>
          <w:rFonts w:hint="eastAsia"/>
          <w:sz w:val="84"/>
          <w:szCs w:val="84"/>
        </w:rPr>
        <w:t>2020年度</w:t>
      </w:r>
    </w:p>
    <w:p>
      <w:pPr>
        <w:pStyle w:val="2"/>
        <w:jc w:val="center"/>
        <w:rPr>
          <w:sz w:val="84"/>
          <w:szCs w:val="84"/>
        </w:rPr>
      </w:pPr>
      <w:r>
        <w:rPr>
          <w:rFonts w:hint="eastAsia"/>
          <w:sz w:val="84"/>
          <w:szCs w:val="84"/>
        </w:rPr>
        <w:t>湖南省质量技术</w:t>
      </w:r>
    </w:p>
    <w:p>
      <w:pPr>
        <w:pStyle w:val="2"/>
        <w:jc w:val="center"/>
        <w:rPr>
          <w:sz w:val="84"/>
          <w:szCs w:val="84"/>
        </w:rPr>
      </w:pPr>
      <w:r>
        <w:rPr>
          <w:rFonts w:hint="eastAsia"/>
          <w:sz w:val="84"/>
          <w:szCs w:val="84"/>
        </w:rPr>
        <w:t>评审中心</w:t>
      </w:r>
    </w:p>
    <w:p>
      <w:pPr>
        <w:pStyle w:val="2"/>
        <w:jc w:val="center"/>
        <w:rPr>
          <w:sz w:val="84"/>
          <w:szCs w:val="84"/>
        </w:rPr>
      </w:pPr>
      <w:r>
        <w:rPr>
          <w:rFonts w:hint="eastAsia"/>
          <w:sz w:val="84"/>
          <w:szCs w:val="84"/>
        </w:rPr>
        <w:t>整体支出绩效自评报告</w:t>
      </w:r>
    </w:p>
    <w:p>
      <w:pPr>
        <w:jc w:val="center"/>
        <w:rPr>
          <w:rFonts w:eastAsia="楷体_GB2312"/>
          <w:b/>
          <w:sz w:val="32"/>
          <w:szCs w:val="32"/>
        </w:rPr>
      </w:pPr>
    </w:p>
    <w:p>
      <w:pPr>
        <w:jc w:val="center"/>
        <w:rPr>
          <w:rFonts w:eastAsia="黑体"/>
          <w:sz w:val="32"/>
          <w:szCs w:val="32"/>
        </w:rPr>
      </w:pPr>
    </w:p>
    <w:p>
      <w:pPr>
        <w:rPr>
          <w:rFonts w:eastAsia="黑体"/>
          <w:sz w:val="32"/>
          <w:szCs w:val="32"/>
        </w:rPr>
      </w:pPr>
    </w:p>
    <w:p>
      <w:pPr>
        <w:jc w:val="center"/>
        <w:rPr>
          <w:b/>
          <w:bCs/>
          <w:sz w:val="36"/>
          <w:szCs w:val="36"/>
        </w:rPr>
      </w:pPr>
      <w:r>
        <w:rPr>
          <w:rFonts w:hint="eastAsia"/>
          <w:b/>
          <w:bCs/>
          <w:sz w:val="36"/>
          <w:szCs w:val="36"/>
        </w:rPr>
        <w:t>湖南省质量技术评审中心</w:t>
      </w:r>
    </w:p>
    <w:p>
      <w:pPr>
        <w:jc w:val="center"/>
        <w:rPr>
          <w:b/>
          <w:bCs/>
          <w:sz w:val="36"/>
          <w:szCs w:val="36"/>
        </w:rPr>
      </w:pPr>
      <w:r>
        <w:rPr>
          <w:rFonts w:hint="eastAsia"/>
          <w:b/>
          <w:bCs/>
          <w:sz w:val="36"/>
          <w:szCs w:val="36"/>
        </w:rPr>
        <w:t>2021年5月18日</w:t>
      </w:r>
    </w:p>
    <w:p>
      <w:pPr>
        <w:jc w:val="center"/>
        <w:rPr>
          <w:rFonts w:eastAsia="黑体"/>
          <w:sz w:val="32"/>
          <w:szCs w:val="32"/>
        </w:rPr>
      </w:pPr>
    </w:p>
    <w:p>
      <w:pPr>
        <w:jc w:val="center"/>
        <w:rPr>
          <w:rFonts w:eastAsia="黑体"/>
          <w:sz w:val="32"/>
          <w:szCs w:val="32"/>
        </w:rPr>
        <w:sectPr>
          <w:footerReference r:id="rId5" w:type="default"/>
          <w:footerReference r:id="rId6" w:type="even"/>
          <w:pgSz w:w="11906" w:h="16838"/>
          <w:pgMar w:top="1985" w:right="1474" w:bottom="1440" w:left="1588" w:header="851" w:footer="992" w:gutter="0"/>
          <w:cols w:space="425" w:num="1"/>
          <w:titlePg/>
          <w:docGrid w:type="lines" w:linePitch="312" w:charSpace="0"/>
        </w:sectPr>
      </w:pPr>
    </w:p>
    <w:p>
      <w:pPr>
        <w:widowControl/>
        <w:ind w:firstLine="640" w:firstLineChars="200"/>
        <w:jc w:val="left"/>
        <w:rPr>
          <w:rFonts w:eastAsia="黑体"/>
          <w:sz w:val="32"/>
          <w:szCs w:val="32"/>
        </w:rPr>
      </w:pPr>
      <w:r>
        <w:rPr>
          <w:rFonts w:hint="eastAsia" w:ascii="方正黑体简体" w:eastAsia="方正黑体简体"/>
          <w:sz w:val="32"/>
          <w:szCs w:val="32"/>
        </w:rPr>
        <w:t>一、单位基本情况</w:t>
      </w:r>
    </w:p>
    <w:p>
      <w:pPr>
        <w:widowControl/>
        <w:spacing w:line="520" w:lineRule="atLeast"/>
        <w:ind w:firstLine="560"/>
        <w:rPr>
          <w:rFonts w:ascii="仿宋_GB2312" w:eastAsia="仿宋_GB2312"/>
          <w:color w:val="000000" w:themeColor="text1"/>
          <w:sz w:val="32"/>
          <w:szCs w:val="32"/>
        </w:rPr>
      </w:pPr>
      <w:r>
        <w:rPr>
          <w:rFonts w:hint="eastAsia" w:ascii="仿宋_GB2312" w:eastAsia="仿宋_GB2312"/>
          <w:color w:val="000000" w:themeColor="text1"/>
          <w:sz w:val="32"/>
          <w:szCs w:val="32"/>
        </w:rPr>
        <w:t>湖南省质量技术评审中心（以下称评审中心）成立于2009年，是原省质监局下属的正处级差额拨款事业单位，班子成员一正两副，内设办公室、业务科、评审科三个科室，财政预算拨款基数为79.84万元，总固定资产410万元。人员编制13个，其中正式干部职工11人、临聘人员1人。原主要职能是与中国方圆标志认证集团的合作，推进湖南产品和管理体系认证工作。“三定”赋予的职能是为原质量技术监督系统开展质量综合管理、认证执法和认证监督管理提供技术支持，承担行政许可、产品和服务方面的技术评审等工作。</w:t>
      </w:r>
    </w:p>
    <w:p>
      <w:pPr>
        <w:widowControl/>
        <w:spacing w:line="520" w:lineRule="atLeast"/>
        <w:ind w:firstLine="560"/>
        <w:rPr>
          <w:rFonts w:ascii="仿宋_GB2312" w:eastAsia="仿宋_GB2312"/>
          <w:color w:val="000000" w:themeColor="text1"/>
          <w:sz w:val="32"/>
          <w:szCs w:val="32"/>
        </w:rPr>
      </w:pPr>
      <w:r>
        <w:rPr>
          <w:rFonts w:ascii="仿宋_GB2312" w:eastAsia="仿宋_GB2312"/>
          <w:color w:val="000000" w:themeColor="text1"/>
          <w:sz w:val="32"/>
          <w:szCs w:val="32"/>
        </w:rPr>
        <w:t>评审中心成立以来承担了省局交办的技术评审和服务工作，取得了明显的工作成效。如受原湖南省质量技术监督局委托组织开展湖南省企业开展质量信用等级评定工作，累计发放证书695张(2019年已被叫停)；作为湖南省“两型认证”的主要技术依托单位，研发的“两型认证”技术方案得到了业界一致好评；参与了湖南名牌、省长质量奖、标准化项目、政府质量考核、生产许可证、检查评审活动；承担地方人民政府和省质量技术监督局授权的质量技术评审工作和承担原省质量技术监督局授权的其他工作。行政审批体制改革后， 2019-2020年组织实施完成第六届湖南省省长质量奖；认证活动“双随机、一公开”监督检查457家次；认可活动“双随机、一公开”监督检查66家次；组织完成682家次检验检测机构资质认定、计量器具型式核准、计量授权机构考核、计量标准考核的技术评审工作。评审中心积极履职，多次被评为先进单位，为我省高质量发展做出了应有的贡献。</w:t>
      </w:r>
    </w:p>
    <w:p>
      <w:pPr>
        <w:ind w:firstLine="640" w:firstLineChars="200"/>
        <w:rPr>
          <w:rFonts w:ascii="方正黑体简体" w:eastAsia="方正黑体简体"/>
          <w:sz w:val="32"/>
          <w:szCs w:val="32"/>
        </w:rPr>
      </w:pPr>
      <w:r>
        <w:rPr>
          <w:rFonts w:hint="eastAsia" w:ascii="方正黑体简体" w:eastAsia="方正黑体简体"/>
          <w:sz w:val="32"/>
          <w:szCs w:val="32"/>
        </w:rPr>
        <w:t>二、一般公共预算支出情况</w:t>
      </w:r>
    </w:p>
    <w:p>
      <w:pPr>
        <w:ind w:firstLine="642" w:firstLineChars="200"/>
        <w:rPr>
          <w:rFonts w:ascii="方正楷体简体" w:eastAsia="方正楷体简体"/>
          <w:b/>
          <w:sz w:val="32"/>
          <w:szCs w:val="32"/>
        </w:rPr>
      </w:pPr>
      <w:r>
        <w:rPr>
          <w:rFonts w:hint="eastAsia" w:ascii="方正楷体简体" w:eastAsia="方正楷体简体"/>
          <w:b/>
          <w:sz w:val="32"/>
          <w:szCs w:val="32"/>
        </w:rPr>
        <w:t>（一）基本支出情况</w:t>
      </w:r>
    </w:p>
    <w:p>
      <w:pPr>
        <w:ind w:firstLine="640" w:firstLineChars="200"/>
        <w:rPr>
          <w:rFonts w:ascii="仿宋_GB2312" w:eastAsia="仿宋_GB2312"/>
          <w:sz w:val="32"/>
          <w:szCs w:val="32"/>
        </w:rPr>
      </w:pPr>
      <w:r>
        <w:rPr>
          <w:rFonts w:hint="eastAsia" w:ascii="仿宋_GB2312" w:eastAsia="仿宋_GB2312"/>
          <w:sz w:val="32"/>
          <w:szCs w:val="32"/>
        </w:rPr>
        <w:t>2020年度基本支出指标金额总计224.67万元，含年初预算指标217.91万元，追加人员经费指标6.76万元，上年度结余人员经费指标6.94万元。全年合计支出224.67万元，其中支出人员经费164.29万元，日常公用经费60.38万元。基本支出总结余5.55万元，其中结余人员经费5.55万元，结余日常公用经费0万元。基本支出指标金额使用率97.53%。</w:t>
      </w:r>
    </w:p>
    <w:p>
      <w:pPr>
        <w:ind w:firstLine="642" w:firstLineChars="200"/>
        <w:rPr>
          <w:rFonts w:ascii="方正楷体简体" w:eastAsia="方正楷体简体"/>
          <w:b/>
          <w:sz w:val="32"/>
          <w:szCs w:val="32"/>
        </w:rPr>
      </w:pPr>
      <w:r>
        <w:rPr>
          <w:rFonts w:hint="eastAsia" w:ascii="方正楷体简体" w:eastAsia="方正楷体简体"/>
          <w:b/>
          <w:sz w:val="32"/>
          <w:szCs w:val="32"/>
        </w:rPr>
        <w:t>（二）项目支出情况</w:t>
      </w:r>
    </w:p>
    <w:p>
      <w:pPr>
        <w:ind w:firstLine="640" w:firstLineChars="200"/>
        <w:rPr>
          <w:rFonts w:ascii="仿宋_GB2312" w:eastAsia="仿宋_GB2312"/>
          <w:sz w:val="32"/>
          <w:szCs w:val="32"/>
        </w:rPr>
      </w:pPr>
      <w:r>
        <w:rPr>
          <w:rFonts w:hint="eastAsia" w:ascii="仿宋_GB2312" w:eastAsia="仿宋_GB2312"/>
          <w:sz w:val="32"/>
          <w:szCs w:val="32"/>
        </w:rPr>
        <w:t>项目支出系我局为做好评审工作而发生的各项支出，包括市场监管专项经费。项目支出指标金额合计10万元，含年初预算数0万元，追加指标10万元，上年度结余0万元。全年实际支出合计10万元，结余0万元。项目支出指标金额使用率100%。</w:t>
      </w:r>
    </w:p>
    <w:p>
      <w:pPr>
        <w:ind w:firstLine="642" w:firstLineChars="200"/>
        <w:rPr>
          <w:rFonts w:ascii="仿宋_GB2312" w:eastAsia="仿宋_GB2312"/>
          <w:sz w:val="32"/>
          <w:szCs w:val="32"/>
        </w:rPr>
      </w:pPr>
      <w:r>
        <w:rPr>
          <w:rFonts w:hint="eastAsia" w:ascii="仿宋_GB2312" w:eastAsia="仿宋_GB2312"/>
          <w:b/>
          <w:bCs/>
          <w:sz w:val="32"/>
          <w:szCs w:val="32"/>
        </w:rPr>
        <w:t>1. 市场监督管理事务-一次性运行经费：</w:t>
      </w:r>
      <w:r>
        <w:rPr>
          <w:rFonts w:hint="eastAsia" w:ascii="仿宋_GB2312" w:eastAsia="仿宋_GB2312"/>
          <w:sz w:val="32"/>
          <w:szCs w:val="32"/>
        </w:rPr>
        <w:t>本项目为计量经费。本项目相关经费由省局监督处下达至我局，经费合计10万元整，含年初预算数0万元，上年度结余0万元。项目总投入10万元，结余0万元，资金使用率达100%，其中其他交通费用支出8.56万元，其他商品和服务支出1.44万元，以上开支均符合《湖南省质量技术评审中心财务管理制度》及省财政厅相关规定，未发现违规支出。</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r>
        <w:rPr>
          <w:rFonts w:hint="eastAsia" w:ascii="Times New Roman" w:hAnsi="Times New Roman" w:eastAsia="黑体"/>
          <w:sz w:val="32"/>
          <w:szCs w:val="32"/>
        </w:rPr>
        <w:t>：无</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r>
        <w:rPr>
          <w:rFonts w:hint="eastAsia" w:ascii="Times New Roman" w:hAnsi="Times New Roman" w:eastAsia="黑体"/>
          <w:sz w:val="32"/>
          <w:szCs w:val="32"/>
        </w:rPr>
        <w:t>：无</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r>
        <w:rPr>
          <w:rFonts w:hint="eastAsia" w:ascii="Times New Roman" w:hAnsi="Times New Roman" w:eastAsia="黑体"/>
          <w:sz w:val="32"/>
          <w:szCs w:val="32"/>
        </w:rPr>
        <w:t>：无</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六、部门整体绩效支出情况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2021年，我单位积极履职，强化管理，较好地完成了年度工作目标。通过加强预算收支管理，不断建立健全内部管理制度，梳理内部管理流程，部门整体支出管理水平得到提升。部门整体支出绩效情况如下：</w:t>
      </w:r>
    </w:p>
    <w:p>
      <w:pPr>
        <w:spacing w:line="360" w:lineRule="auto"/>
        <w:rPr>
          <w:rFonts w:ascii="仿宋" w:hAnsi="仿宋" w:eastAsia="仿宋"/>
          <w:sz w:val="32"/>
          <w:szCs w:val="32"/>
        </w:rPr>
      </w:pPr>
      <w:r>
        <w:rPr>
          <w:rFonts w:hint="eastAsia" w:ascii="仿宋" w:hAnsi="仿宋" w:eastAsia="仿宋"/>
          <w:b/>
          <w:sz w:val="32"/>
          <w:szCs w:val="32"/>
        </w:rPr>
        <w:t>（一）依法依规开展行政许可相关的技术评审工作。</w:t>
      </w:r>
    </w:p>
    <w:p>
      <w:pPr>
        <w:spacing w:line="600" w:lineRule="exact"/>
        <w:ind w:firstLine="200"/>
        <w:rPr>
          <w:rFonts w:ascii="仿宋_GB2312" w:eastAsia="仿宋_GB2312"/>
          <w:sz w:val="32"/>
          <w:szCs w:val="32"/>
        </w:rPr>
      </w:pPr>
      <w:r>
        <w:rPr>
          <w:rFonts w:hint="eastAsia" w:ascii="仿宋_GB2312" w:eastAsia="仿宋_GB2312"/>
          <w:b/>
          <w:sz w:val="32"/>
          <w:szCs w:val="32"/>
        </w:rPr>
        <w:t>1.严格遵守评审程序，按时完成评审计划。</w:t>
      </w: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年1至11月份</w:t>
      </w:r>
      <w:r>
        <w:rPr>
          <w:rFonts w:ascii="仿宋_GB2312" w:eastAsia="仿宋_GB2312"/>
          <w:sz w:val="32"/>
          <w:szCs w:val="32"/>
        </w:rPr>
        <w:t>下达</w:t>
      </w:r>
      <w:r>
        <w:rPr>
          <w:rFonts w:hint="eastAsia" w:ascii="仿宋_GB2312" w:eastAsia="仿宋_GB2312"/>
          <w:sz w:val="32"/>
          <w:szCs w:val="32"/>
        </w:rPr>
        <w:t>检验检测机构资质认定</w:t>
      </w:r>
      <w:r>
        <w:rPr>
          <w:rFonts w:ascii="仿宋_GB2312" w:eastAsia="仿宋_GB2312"/>
          <w:sz w:val="32"/>
          <w:szCs w:val="32"/>
        </w:rPr>
        <w:t>评审计划195</w:t>
      </w:r>
      <w:r>
        <w:rPr>
          <w:rFonts w:hint="eastAsia" w:ascii="仿宋_GB2312" w:eastAsia="仿宋_GB2312"/>
          <w:sz w:val="32"/>
          <w:szCs w:val="32"/>
        </w:rPr>
        <w:t>家，</w:t>
      </w:r>
      <w:r>
        <w:rPr>
          <w:rFonts w:ascii="仿宋_GB2312" w:eastAsia="仿宋_GB2312"/>
          <w:sz w:val="32"/>
          <w:szCs w:val="32"/>
        </w:rPr>
        <w:t>已</w:t>
      </w:r>
      <w:r>
        <w:rPr>
          <w:rFonts w:hint="eastAsia" w:ascii="仿宋_GB2312" w:eastAsia="仿宋_GB2312"/>
          <w:sz w:val="32"/>
          <w:szCs w:val="32"/>
        </w:rPr>
        <w:t>完成</w:t>
      </w:r>
      <w:r>
        <w:rPr>
          <w:rFonts w:ascii="仿宋_GB2312" w:eastAsia="仿宋_GB2312"/>
          <w:sz w:val="32"/>
          <w:szCs w:val="32"/>
        </w:rPr>
        <w:t>现场评审提交发证</w:t>
      </w:r>
      <w:r>
        <w:rPr>
          <w:rFonts w:hint="eastAsia" w:ascii="仿宋_GB2312" w:eastAsia="仿宋_GB2312"/>
          <w:sz w:val="32"/>
          <w:szCs w:val="32"/>
        </w:rPr>
        <w:t>1</w:t>
      </w:r>
      <w:r>
        <w:rPr>
          <w:rFonts w:ascii="仿宋_GB2312" w:eastAsia="仿宋_GB2312"/>
          <w:sz w:val="32"/>
          <w:szCs w:val="32"/>
        </w:rPr>
        <w:t>52</w:t>
      </w:r>
      <w:r>
        <w:rPr>
          <w:rFonts w:hint="eastAsia" w:ascii="仿宋_GB2312" w:eastAsia="仿宋_GB2312"/>
          <w:sz w:val="32"/>
          <w:szCs w:val="32"/>
        </w:rPr>
        <w:t>家；委托计量器具型式评价计划17家/次，</w:t>
      </w:r>
      <w:r>
        <w:rPr>
          <w:rFonts w:ascii="仿宋_GB2312" w:eastAsia="仿宋_GB2312"/>
          <w:sz w:val="32"/>
          <w:szCs w:val="32"/>
        </w:rPr>
        <w:t>已</w:t>
      </w:r>
      <w:r>
        <w:rPr>
          <w:rFonts w:hint="eastAsia" w:ascii="仿宋_GB2312" w:eastAsia="仿宋_GB2312"/>
          <w:sz w:val="32"/>
          <w:szCs w:val="32"/>
        </w:rPr>
        <w:t>完成</w:t>
      </w:r>
      <w:r>
        <w:rPr>
          <w:rFonts w:ascii="仿宋_GB2312" w:eastAsia="仿宋_GB2312"/>
          <w:sz w:val="32"/>
          <w:szCs w:val="32"/>
        </w:rPr>
        <w:t>提交发证</w:t>
      </w:r>
      <w:r>
        <w:rPr>
          <w:rFonts w:hint="eastAsia" w:ascii="仿宋_GB2312" w:eastAsia="仿宋_GB2312"/>
          <w:sz w:val="32"/>
          <w:szCs w:val="32"/>
        </w:rPr>
        <w:t>15家/次；组织完成12家机构的计量器具核准，并提交发证；组织完成1家计量授权机构复查考核，能持续保持能力，并复查获证。</w:t>
      </w:r>
    </w:p>
    <w:p>
      <w:pPr>
        <w:spacing w:line="600" w:lineRule="exact"/>
        <w:ind w:firstLine="200"/>
        <w:rPr>
          <w:rFonts w:ascii="仿宋_GB2312" w:eastAsia="仿宋_GB2312"/>
          <w:sz w:val="32"/>
          <w:szCs w:val="32"/>
        </w:rPr>
      </w:pPr>
      <w:r>
        <w:rPr>
          <w:rFonts w:hint="eastAsia" w:ascii="仿宋_GB2312" w:eastAsia="仿宋_GB2312"/>
          <w:b/>
          <w:sz w:val="32"/>
          <w:szCs w:val="32"/>
        </w:rPr>
        <w:t>2.完成省局交办的对检验检测机构资质认定申报单位的举报2起。</w:t>
      </w:r>
      <w:r>
        <w:rPr>
          <w:rFonts w:hint="eastAsia" w:ascii="仿宋_GB2312" w:eastAsia="仿宋_GB2312"/>
          <w:sz w:val="32"/>
          <w:szCs w:val="32"/>
        </w:rPr>
        <w:t>根据相关单位和个人的举报信息，组织外省专家对“郴州市佳运来机动车检测有限公司”和“郴州市顺达机动车检测有限公司”两家机构的申报材料、场地环境、设施设备、人员资质逐一进行核查。提出整改意见，并督促完成整改。</w:t>
      </w:r>
    </w:p>
    <w:p>
      <w:pPr>
        <w:spacing w:line="360" w:lineRule="auto"/>
        <w:rPr>
          <w:rFonts w:ascii="仿宋_GB2312" w:eastAsia="仿宋_GB2312"/>
          <w:b/>
          <w:sz w:val="32"/>
          <w:szCs w:val="32"/>
        </w:rPr>
      </w:pPr>
      <w:r>
        <w:rPr>
          <w:rFonts w:hint="eastAsia" w:ascii="仿宋_GB2312" w:eastAsia="仿宋_GB2312"/>
          <w:b/>
          <w:sz w:val="32"/>
          <w:szCs w:val="32"/>
        </w:rPr>
        <w:t>（二）积极参与市场竞争，创造经济效益弥补财政经费不足。</w:t>
      </w:r>
    </w:p>
    <w:p>
      <w:pPr>
        <w:spacing w:line="360" w:lineRule="auto"/>
        <w:ind w:firstLine="624" w:firstLineChars="195"/>
        <w:rPr>
          <w:rFonts w:ascii="黑体" w:eastAsia="黑体"/>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年评审中心全体职工共同努力，克服了职能未到位及人员经费支付的困难，积极参与市场竞争，累计签订合同金额309.62万元，创造经济效益弥补财政经费不足。通过公平、公正的招投标竞争方式，承接了省长质</w:t>
      </w:r>
      <w:r>
        <w:rPr>
          <w:rFonts w:ascii="仿宋_GB2312" w:eastAsia="仿宋_GB2312"/>
          <w:sz w:val="32"/>
          <w:szCs w:val="32"/>
        </w:rPr>
        <w:t>量</w:t>
      </w:r>
      <w:r>
        <w:rPr>
          <w:rFonts w:hint="eastAsia" w:ascii="仿宋_GB2312" w:eastAsia="仿宋_GB2312"/>
          <w:sz w:val="32"/>
          <w:szCs w:val="32"/>
        </w:rPr>
        <w:t>奖</w:t>
      </w:r>
      <w:r>
        <w:rPr>
          <w:rFonts w:ascii="仿宋_GB2312" w:eastAsia="仿宋_GB2312"/>
          <w:sz w:val="32"/>
          <w:szCs w:val="32"/>
        </w:rPr>
        <w:t>评审、</w:t>
      </w:r>
      <w:r>
        <w:rPr>
          <w:rFonts w:hint="eastAsia" w:ascii="仿宋_GB2312" w:eastAsia="仿宋_GB2312"/>
          <w:sz w:val="32"/>
          <w:szCs w:val="32"/>
        </w:rPr>
        <w:t>认证认</w:t>
      </w:r>
      <w:r>
        <w:rPr>
          <w:rFonts w:ascii="仿宋_GB2312" w:eastAsia="仿宋_GB2312"/>
          <w:sz w:val="32"/>
          <w:szCs w:val="32"/>
        </w:rPr>
        <w:t>可</w:t>
      </w:r>
      <w:r>
        <w:rPr>
          <w:rFonts w:hint="eastAsia" w:ascii="仿宋_GB2312" w:eastAsia="仿宋_GB2312"/>
          <w:sz w:val="32"/>
          <w:szCs w:val="32"/>
        </w:rPr>
        <w:t>“双随机、一公开”监督等方面的业务，主要工作内容如下：</w:t>
      </w:r>
      <w:r>
        <w:rPr>
          <w:rFonts w:hint="eastAsia" w:ascii="仿宋_GB2312" w:eastAsia="仿宋_GB2312"/>
          <w:sz w:val="32"/>
          <w:szCs w:val="32"/>
        </w:rPr>
        <w:tab/>
      </w:r>
    </w:p>
    <w:p>
      <w:pPr>
        <w:spacing w:line="360" w:lineRule="auto"/>
        <w:ind w:firstLine="626" w:firstLineChars="195"/>
        <w:rPr>
          <w:rFonts w:ascii="仿宋_GB2312" w:eastAsia="仿宋_GB2312"/>
          <w:sz w:val="32"/>
          <w:szCs w:val="32"/>
        </w:rPr>
      </w:pPr>
      <w:r>
        <w:rPr>
          <w:rFonts w:hint="eastAsia" w:ascii="仿宋_GB2312" w:eastAsia="仿宋_GB2312"/>
          <w:b/>
          <w:sz w:val="32"/>
          <w:szCs w:val="32"/>
        </w:rPr>
        <w:t>1.完成第六届省长质量奖评审工作。</w:t>
      </w:r>
      <w:r>
        <w:rPr>
          <w:rFonts w:hint="eastAsia" w:ascii="仿宋_GB2312" w:eastAsia="仿宋_GB2312"/>
          <w:sz w:val="32"/>
          <w:szCs w:val="32"/>
        </w:rPr>
        <w:t>配合省局质量管理局完成了《湖南省省长质量奖管理办法》，以及组织奖、个人奖</w:t>
      </w:r>
      <w:r>
        <w:rPr>
          <w:rFonts w:hint="eastAsia" w:ascii="仿宋" w:hAnsi="仿宋" w:eastAsia="仿宋"/>
          <w:sz w:val="32"/>
          <w:szCs w:val="32"/>
        </w:rPr>
        <w:t>《评审准则》、《实施方案》和资料评审及现场评审两个《工作指南》，使评审工作各个环节都有据可依</w:t>
      </w:r>
      <w:r>
        <w:rPr>
          <w:rFonts w:hint="eastAsia" w:ascii="仿宋_GB2312" w:eastAsia="仿宋_GB2312"/>
          <w:sz w:val="32"/>
          <w:szCs w:val="32"/>
        </w:rPr>
        <w:t>；完成了67家制造业、25家服务业组织和30名个人奖的申报材料进行资料评审，以及27家制造业组织、9家服务业组织和12名个人的现场评审，并配合省质量发展局完成评审工作综合评价和评审项目总结上报工作。</w:t>
      </w:r>
    </w:p>
    <w:p>
      <w:pPr>
        <w:spacing w:line="360" w:lineRule="auto"/>
        <w:ind w:firstLine="626" w:firstLineChars="195"/>
        <w:rPr>
          <w:rFonts w:ascii="仿宋_GB2312" w:eastAsia="仿宋_GB2312"/>
          <w:sz w:val="32"/>
          <w:szCs w:val="32"/>
        </w:rPr>
      </w:pPr>
      <w:r>
        <w:rPr>
          <w:rFonts w:hint="eastAsia" w:ascii="仿宋_GB2312" w:eastAsia="仿宋_GB2312"/>
          <w:b/>
          <w:sz w:val="32"/>
          <w:szCs w:val="32"/>
        </w:rPr>
        <w:t>2.组织</w:t>
      </w:r>
      <w:r>
        <w:rPr>
          <w:rFonts w:ascii="仿宋_GB2312" w:eastAsia="仿宋_GB2312"/>
          <w:b/>
          <w:sz w:val="32"/>
          <w:szCs w:val="32"/>
        </w:rPr>
        <w:t>实施了</w:t>
      </w:r>
      <w:r>
        <w:rPr>
          <w:rFonts w:hint="eastAsia" w:ascii="仿宋_GB2312" w:eastAsia="仿宋_GB2312"/>
          <w:b/>
          <w:sz w:val="32"/>
          <w:szCs w:val="32"/>
        </w:rPr>
        <w:t>2020年</w:t>
      </w:r>
      <w:r>
        <w:rPr>
          <w:rFonts w:ascii="仿宋_GB2312" w:eastAsia="仿宋_GB2312"/>
          <w:b/>
          <w:sz w:val="32"/>
          <w:szCs w:val="32"/>
        </w:rPr>
        <w:t>度认证</w:t>
      </w:r>
      <w:r>
        <w:rPr>
          <w:rFonts w:hint="eastAsia" w:ascii="仿宋_GB2312" w:eastAsia="仿宋_GB2312"/>
          <w:b/>
          <w:sz w:val="32"/>
          <w:szCs w:val="32"/>
        </w:rPr>
        <w:t>认可</w:t>
      </w:r>
      <w:r>
        <w:rPr>
          <w:rFonts w:ascii="仿宋_GB2312" w:eastAsia="仿宋_GB2312"/>
          <w:b/>
          <w:sz w:val="32"/>
          <w:szCs w:val="32"/>
        </w:rPr>
        <w:t>活动</w:t>
      </w:r>
      <w:r>
        <w:rPr>
          <w:rFonts w:hint="eastAsia" w:ascii="仿宋_GB2312" w:eastAsia="仿宋_GB2312"/>
          <w:b/>
          <w:sz w:val="32"/>
          <w:szCs w:val="32"/>
        </w:rPr>
        <w:t>“双</w:t>
      </w:r>
      <w:r>
        <w:rPr>
          <w:rFonts w:ascii="仿宋_GB2312" w:eastAsia="仿宋_GB2312"/>
          <w:b/>
          <w:sz w:val="32"/>
          <w:szCs w:val="32"/>
        </w:rPr>
        <w:t>随机、一公开”</w:t>
      </w:r>
      <w:r>
        <w:rPr>
          <w:rFonts w:hint="eastAsia" w:ascii="仿宋_GB2312" w:eastAsia="仿宋_GB2312"/>
          <w:b/>
          <w:sz w:val="32"/>
          <w:szCs w:val="32"/>
        </w:rPr>
        <w:t>监督</w:t>
      </w:r>
      <w:r>
        <w:rPr>
          <w:rFonts w:ascii="仿宋_GB2312" w:eastAsia="仿宋_GB2312"/>
          <w:b/>
          <w:sz w:val="32"/>
          <w:szCs w:val="32"/>
        </w:rPr>
        <w:t>检查</w:t>
      </w:r>
      <w:r>
        <w:rPr>
          <w:rFonts w:hint="eastAsia" w:ascii="仿宋_GB2312" w:eastAsia="仿宋_GB2312"/>
          <w:b/>
          <w:sz w:val="32"/>
          <w:szCs w:val="32"/>
        </w:rPr>
        <w:t>，</w:t>
      </w:r>
      <w:r>
        <w:rPr>
          <w:rFonts w:ascii="仿宋_GB2312" w:eastAsia="仿宋_GB2312"/>
          <w:sz w:val="32"/>
          <w:szCs w:val="32"/>
        </w:rPr>
        <w:t>共对</w:t>
      </w:r>
      <w:r>
        <w:rPr>
          <w:rFonts w:hint="eastAsia" w:ascii="仿宋_GB2312" w:eastAsia="仿宋_GB2312"/>
          <w:sz w:val="32"/>
          <w:szCs w:val="32"/>
        </w:rPr>
        <w:t>200家（其中</w:t>
      </w:r>
      <w:r>
        <w:rPr>
          <w:rFonts w:ascii="仿宋_GB2312" w:eastAsia="仿宋_GB2312"/>
          <w:sz w:val="32"/>
          <w:szCs w:val="32"/>
          <w:lang w:bidi="en-US"/>
        </w:rPr>
        <w:t>60</w:t>
      </w:r>
      <w:r>
        <w:rPr>
          <w:rFonts w:hint="eastAsia" w:ascii="仿宋_GB2312" w:eastAsia="仿宋_GB2312"/>
          <w:sz w:val="32"/>
          <w:szCs w:val="32"/>
          <w:lang w:bidi="en-US"/>
        </w:rPr>
        <w:t>家强制性产品认证企业，140家自愿性认证企业</w:t>
      </w:r>
      <w:r>
        <w:rPr>
          <w:rFonts w:hint="eastAsia" w:ascii="仿宋_GB2312" w:eastAsia="仿宋_GB2312"/>
          <w:sz w:val="32"/>
          <w:szCs w:val="32"/>
        </w:rPr>
        <w:t>）</w:t>
      </w:r>
      <w:r>
        <w:rPr>
          <w:rFonts w:ascii="仿宋_GB2312" w:eastAsia="仿宋_GB2312"/>
          <w:sz w:val="32"/>
          <w:szCs w:val="32"/>
        </w:rPr>
        <w:t>认证企业</w:t>
      </w:r>
      <w:r>
        <w:rPr>
          <w:rFonts w:hint="eastAsia" w:ascii="仿宋_GB2312" w:eastAsia="仿宋_GB2312"/>
          <w:sz w:val="32"/>
          <w:szCs w:val="32"/>
        </w:rPr>
        <w:t>进行</w:t>
      </w:r>
      <w:r>
        <w:rPr>
          <w:rFonts w:ascii="仿宋_GB2312" w:eastAsia="仿宋_GB2312"/>
          <w:sz w:val="32"/>
          <w:szCs w:val="32"/>
        </w:rPr>
        <w:t>了认证活动（</w:t>
      </w:r>
      <w:r>
        <w:rPr>
          <w:rFonts w:hint="eastAsia" w:ascii="仿宋_GB2312" w:eastAsia="仿宋_GB2312"/>
          <w:sz w:val="32"/>
          <w:szCs w:val="32"/>
        </w:rPr>
        <w:t>事</w:t>
      </w:r>
      <w:r>
        <w:rPr>
          <w:rFonts w:ascii="仿宋_GB2312" w:eastAsia="仿宋_GB2312"/>
          <w:sz w:val="32"/>
          <w:szCs w:val="32"/>
        </w:rPr>
        <w:t>中）</w:t>
      </w:r>
      <w:r>
        <w:rPr>
          <w:rFonts w:hint="eastAsia" w:ascii="仿宋_GB2312" w:eastAsia="仿宋_GB2312"/>
          <w:sz w:val="32"/>
          <w:szCs w:val="32"/>
        </w:rPr>
        <w:t>“双</w:t>
      </w:r>
      <w:r>
        <w:rPr>
          <w:rFonts w:ascii="仿宋_GB2312" w:eastAsia="仿宋_GB2312"/>
          <w:sz w:val="32"/>
          <w:szCs w:val="32"/>
        </w:rPr>
        <w:t>随机、一公开”</w:t>
      </w:r>
      <w:r>
        <w:rPr>
          <w:rFonts w:hint="eastAsia" w:ascii="仿宋_GB2312" w:eastAsia="仿宋_GB2312"/>
          <w:sz w:val="32"/>
          <w:szCs w:val="32"/>
        </w:rPr>
        <w:t>监督</w:t>
      </w:r>
      <w:r>
        <w:rPr>
          <w:rFonts w:ascii="仿宋_GB2312" w:eastAsia="仿宋_GB2312"/>
          <w:sz w:val="32"/>
          <w:szCs w:val="32"/>
        </w:rPr>
        <w:t>检查</w:t>
      </w:r>
      <w:r>
        <w:rPr>
          <w:rFonts w:hint="eastAsia" w:ascii="仿宋_GB2312" w:eastAsia="仿宋_GB2312"/>
          <w:sz w:val="32"/>
          <w:szCs w:val="32"/>
        </w:rPr>
        <w:t>，对</w:t>
      </w:r>
      <w:r>
        <w:rPr>
          <w:rFonts w:hint="eastAsia" w:ascii="仿宋_GB2312" w:eastAsia="仿宋_GB2312"/>
          <w:sz w:val="32"/>
          <w:szCs w:val="32"/>
          <w:lang w:bidi="en-US"/>
        </w:rPr>
        <w:t>2019年我省辖区内获得自愿性认证的</w:t>
      </w:r>
      <w:r>
        <w:rPr>
          <w:rFonts w:hint="eastAsia" w:ascii="仿宋_GB2312" w:eastAsia="仿宋_GB2312"/>
          <w:sz w:val="32"/>
          <w:szCs w:val="32"/>
        </w:rPr>
        <w:t>1</w:t>
      </w:r>
      <w:r>
        <w:rPr>
          <w:rFonts w:ascii="仿宋_GB2312" w:eastAsia="仿宋_GB2312"/>
          <w:sz w:val="32"/>
          <w:szCs w:val="32"/>
        </w:rPr>
        <w:t>42</w:t>
      </w:r>
      <w:r>
        <w:rPr>
          <w:rFonts w:hint="eastAsia" w:ascii="仿宋_GB2312" w:eastAsia="仿宋_GB2312"/>
          <w:sz w:val="32"/>
          <w:szCs w:val="32"/>
        </w:rPr>
        <w:t>张认证证书的</w:t>
      </w:r>
      <w:r>
        <w:rPr>
          <w:rFonts w:ascii="仿宋_GB2312" w:eastAsia="仿宋_GB2312"/>
          <w:sz w:val="32"/>
          <w:szCs w:val="32"/>
        </w:rPr>
        <w:t>认证活动</w:t>
      </w:r>
      <w:r>
        <w:rPr>
          <w:rFonts w:hint="eastAsia" w:ascii="仿宋_GB2312" w:eastAsia="仿宋_GB2312"/>
          <w:sz w:val="32"/>
          <w:szCs w:val="32"/>
          <w:lang w:bidi="en-US"/>
        </w:rPr>
        <w:t>进行了</w:t>
      </w:r>
      <w:r>
        <w:rPr>
          <w:rFonts w:ascii="仿宋_GB2312" w:eastAsia="仿宋_GB2312"/>
          <w:sz w:val="32"/>
          <w:szCs w:val="32"/>
        </w:rPr>
        <w:t>（</w:t>
      </w:r>
      <w:r>
        <w:rPr>
          <w:rFonts w:hint="eastAsia" w:ascii="仿宋_GB2312" w:eastAsia="仿宋_GB2312"/>
          <w:sz w:val="32"/>
          <w:szCs w:val="32"/>
        </w:rPr>
        <w:t>事后</w:t>
      </w:r>
      <w:r>
        <w:rPr>
          <w:rFonts w:ascii="仿宋_GB2312" w:eastAsia="仿宋_GB2312"/>
          <w:sz w:val="32"/>
          <w:szCs w:val="32"/>
        </w:rPr>
        <w:t>）</w:t>
      </w:r>
      <w:r>
        <w:rPr>
          <w:rFonts w:hint="eastAsia" w:ascii="仿宋_GB2312" w:eastAsia="仿宋_GB2312"/>
          <w:sz w:val="32"/>
          <w:szCs w:val="32"/>
        </w:rPr>
        <w:t>“双</w:t>
      </w:r>
      <w:r>
        <w:rPr>
          <w:rFonts w:ascii="仿宋_GB2312" w:eastAsia="仿宋_GB2312"/>
          <w:sz w:val="32"/>
          <w:szCs w:val="32"/>
        </w:rPr>
        <w:t>随机、一公开”</w:t>
      </w:r>
      <w:r>
        <w:rPr>
          <w:rFonts w:hint="eastAsia" w:ascii="仿宋_GB2312" w:eastAsia="仿宋_GB2312"/>
          <w:sz w:val="32"/>
          <w:szCs w:val="32"/>
        </w:rPr>
        <w:t>监督</w:t>
      </w:r>
      <w:r>
        <w:rPr>
          <w:rFonts w:ascii="仿宋_GB2312" w:eastAsia="仿宋_GB2312"/>
          <w:sz w:val="32"/>
          <w:szCs w:val="32"/>
        </w:rPr>
        <w:t>检查</w:t>
      </w:r>
      <w:r>
        <w:rPr>
          <w:rFonts w:hint="eastAsia" w:ascii="仿宋_GB2312" w:eastAsia="仿宋_GB2312"/>
          <w:sz w:val="32"/>
          <w:szCs w:val="32"/>
          <w:lang w:bidi="en-US"/>
        </w:rPr>
        <w:t>，</w:t>
      </w:r>
      <w:r>
        <w:rPr>
          <w:rFonts w:hint="eastAsia" w:ascii="仿宋_GB2312" w:eastAsia="仿宋_GB2312"/>
          <w:sz w:val="32"/>
          <w:szCs w:val="32"/>
        </w:rPr>
        <w:t>以及6</w:t>
      </w:r>
      <w:r>
        <w:rPr>
          <w:rFonts w:ascii="仿宋_GB2312" w:eastAsia="仿宋_GB2312"/>
          <w:sz w:val="32"/>
          <w:szCs w:val="32"/>
        </w:rPr>
        <w:t>6</w:t>
      </w:r>
      <w:r>
        <w:rPr>
          <w:rFonts w:hint="eastAsia" w:ascii="仿宋_GB2312" w:eastAsia="仿宋_GB2312"/>
          <w:sz w:val="32"/>
          <w:szCs w:val="32"/>
        </w:rPr>
        <w:t>家环境监测机构和食品检验机构进行了认可活动的“双随机、一公开”监督检查。中心严格按照规定要求，对认证机构、检验检测机构和获证组织认证认可活动的合规性进行逐项检查，克服了时间紧、任务重的困难，按期按量完成了工作，对检查中发现的问题进行逐项分析，对存在一般问题的机构，提出了自行整改要求；对7家检测机构和26家存在严重问题的认证机构，向省局提出了责令改正意见。对4家存在严重违法违规问题的检验检测机构向省局提出了给予依法查处/责令整改意见，并移交当地监管部门查办。对9家认证机构提出了调阅认证企业档案进一步落实的建议。1家拒绝配合监督检查的获证组织上报省局责令认证机构撤销了其认证证书。同时对规范湖南认证市场行为，打造诚信营商环境，促进地方经济发展提出了建设性意见，目前已经完成了项目工作总结和信息上报工作。</w:t>
      </w:r>
    </w:p>
    <w:p>
      <w:pPr>
        <w:spacing w:line="360" w:lineRule="auto"/>
        <w:rPr>
          <w:rFonts w:ascii="仿宋_GB2312" w:eastAsia="仿宋_GB2312"/>
          <w:b/>
          <w:sz w:val="32"/>
          <w:szCs w:val="32"/>
        </w:rPr>
      </w:pPr>
      <w:r>
        <w:rPr>
          <w:rFonts w:hint="eastAsia" w:ascii="仿宋_GB2312" w:eastAsia="仿宋_GB2312"/>
          <w:b/>
          <w:sz w:val="32"/>
          <w:szCs w:val="32"/>
        </w:rPr>
        <w:t>（三）全面开展党建工作</w:t>
      </w:r>
    </w:p>
    <w:p>
      <w:pPr>
        <w:spacing w:line="360" w:lineRule="auto"/>
        <w:ind w:firstLine="626" w:firstLineChars="195"/>
        <w:rPr>
          <w:rFonts w:ascii="仿宋_GB2312" w:eastAsia="仿宋_GB2312"/>
          <w:sz w:val="32"/>
          <w:szCs w:val="32"/>
        </w:rPr>
      </w:pPr>
      <w:r>
        <w:rPr>
          <w:rFonts w:hint="eastAsia" w:ascii="仿宋" w:hAnsi="仿宋" w:eastAsia="仿宋" w:cs="Times New Roman"/>
          <w:b/>
          <w:sz w:val="32"/>
          <w:szCs w:val="32"/>
        </w:rPr>
        <w:t>1.落实党建责任制，实施民主集中制。</w:t>
      </w:r>
      <w:r>
        <w:rPr>
          <w:rFonts w:hint="eastAsia" w:ascii="仿宋" w:hAnsi="仿宋" w:eastAsia="仿宋" w:cs="Times New Roman"/>
          <w:sz w:val="32"/>
          <w:szCs w:val="32"/>
        </w:rPr>
        <w:t>按照省局机关党委部署，扎实开展党建各项工作。认真落实“党要管党、从严治党”责任，坚持将党的建设工作与中心工作同安排、同部署、同落实、同考核，确保中心党的建设各项工作有序推进。</w:t>
      </w:r>
      <w:r>
        <w:rPr>
          <w:rFonts w:hint="eastAsia" w:ascii="仿宋_GB2312" w:eastAsia="仿宋_GB2312"/>
          <w:sz w:val="32"/>
          <w:szCs w:val="32"/>
        </w:rPr>
        <w:t>注重发挥中心支部集体智慧，坚持贯彻民主集中制，对评先选优、财务资金预算、政府采购、干部人事等中心党政重大事项都经班子和支委会集体研究决定，确保中心决策民主、科学、务实。</w:t>
      </w:r>
    </w:p>
    <w:p>
      <w:pPr>
        <w:spacing w:line="360" w:lineRule="auto"/>
        <w:ind w:firstLine="626" w:firstLineChars="195"/>
        <w:rPr>
          <w:rFonts w:ascii="仿宋_GB2312" w:hAnsi="Times New Roman" w:eastAsia="仿宋_GB2312" w:cs="Times New Roman"/>
          <w:sz w:val="32"/>
          <w:szCs w:val="32"/>
        </w:rPr>
      </w:pPr>
      <w:r>
        <w:rPr>
          <w:rFonts w:hint="eastAsia" w:ascii="仿宋_GB2312" w:eastAsia="仿宋_GB2312"/>
          <w:b/>
          <w:sz w:val="32"/>
          <w:szCs w:val="32"/>
        </w:rPr>
        <w:t>2.强化理论学习，坚定理想信念。</w:t>
      </w:r>
      <w:r>
        <w:rPr>
          <w:rFonts w:hint="eastAsia" w:ascii="仿宋_GB2312" w:eastAsia="仿宋_GB2312"/>
          <w:sz w:val="32"/>
          <w:szCs w:val="32"/>
        </w:rPr>
        <w:t>认真</w:t>
      </w:r>
      <w:r>
        <w:rPr>
          <w:rFonts w:hint="eastAsia" w:ascii="仿宋_GB2312" w:eastAsia="仿宋_GB2312"/>
          <w:sz w:val="32"/>
          <w:szCs w:val="32"/>
          <w:lang w:eastAsia="zh-CN"/>
        </w:rPr>
        <w:t>学习贯彻</w:t>
      </w:r>
      <w:bookmarkStart w:id="3" w:name="_GoBack"/>
      <w:bookmarkEnd w:id="3"/>
      <w:r>
        <w:rPr>
          <w:rFonts w:hint="eastAsia" w:ascii="仿宋_GB2312" w:eastAsia="仿宋_GB2312"/>
          <w:sz w:val="32"/>
          <w:szCs w:val="32"/>
        </w:rPr>
        <w:t>习近平新时代中国特色社会主义思想</w:t>
      </w:r>
      <w:r>
        <w:rPr>
          <w:rFonts w:hint="eastAsia" w:ascii="仿宋_GB2312" w:hAnsi="Times New Roman" w:eastAsia="仿宋_GB2312" w:cs="Times New Roman"/>
          <w:sz w:val="32"/>
          <w:szCs w:val="32"/>
        </w:rPr>
        <w:t>和市场监管有关政策和要求。</w:t>
      </w:r>
      <w:r>
        <w:rPr>
          <w:rFonts w:hint="eastAsia" w:ascii="仿宋_GB2312" w:eastAsia="仿宋_GB2312"/>
          <w:sz w:val="32"/>
          <w:szCs w:val="32"/>
        </w:rPr>
        <w:t>紧跟省局机关党委部署，</w:t>
      </w:r>
      <w:r>
        <w:rPr>
          <w:rFonts w:hint="eastAsia" w:ascii="仿宋_GB2312" w:hAnsi="Times New Roman" w:eastAsia="仿宋_GB2312" w:cs="Times New Roman"/>
          <w:sz w:val="32"/>
          <w:szCs w:val="32"/>
        </w:rPr>
        <w:t>开展了“不忘初心、牢记使命”主题教育、习近平新时代中国特色社会主义思想学习纲要、习近平谈治国理政，以及党的十九届五中全会精神等学习活动，</w:t>
      </w:r>
      <w:r>
        <w:rPr>
          <w:rFonts w:hint="eastAsia" w:ascii="仿宋_GB2312" w:eastAsia="仿宋_GB2312"/>
          <w:sz w:val="32"/>
          <w:szCs w:val="32"/>
        </w:rPr>
        <w:t>牢牢把握守初心、担使命，找差距、抓落实的总体要求，坚持学习教育、调查研究、检视问题、整改落实贯穿始终，切实提高政治站位，树牢“四个意识”，坚定“四个自信”，自觉担负起“两个维护”政治责任，使干部职工自觉在思想上、行动上与党中央保持高度一致。</w:t>
      </w:r>
    </w:p>
    <w:p>
      <w:pPr>
        <w:spacing w:line="360" w:lineRule="auto"/>
        <w:ind w:firstLine="624" w:firstLineChars="195"/>
        <w:rPr>
          <w:rFonts w:ascii="仿宋_GB2312" w:eastAsia="仿宋_GB2312"/>
          <w:b/>
          <w:sz w:val="32"/>
          <w:szCs w:val="32"/>
        </w:rPr>
      </w:pPr>
      <w:r>
        <w:rPr>
          <w:rFonts w:hint="eastAsia" w:ascii="仿宋_GB2312" w:hAnsi="Times New Roman" w:eastAsia="仿宋_GB2312" w:cs="Times New Roman"/>
          <w:sz w:val="32"/>
          <w:szCs w:val="32"/>
        </w:rPr>
        <w:t>3.</w:t>
      </w:r>
      <w:r>
        <w:rPr>
          <w:rFonts w:hint="eastAsia" w:ascii="仿宋_GB2312" w:eastAsia="仿宋_GB2312"/>
          <w:b/>
          <w:sz w:val="32"/>
          <w:szCs w:val="32"/>
        </w:rPr>
        <w:t>开展“五化”建设，落实组织生活制度。</w:t>
      </w:r>
      <w:r>
        <w:rPr>
          <w:rFonts w:hint="eastAsia" w:ascii="仿宋_GB2312" w:eastAsia="仿宋_GB2312"/>
          <w:sz w:val="32"/>
          <w:szCs w:val="32"/>
        </w:rPr>
        <w:t>深入开展支部“五化”建设，认真落实</w:t>
      </w:r>
      <w:r>
        <w:rPr>
          <w:rFonts w:hint="eastAsia" w:ascii="仿宋" w:hAnsi="仿宋" w:eastAsia="仿宋"/>
          <w:sz w:val="32"/>
          <w:szCs w:val="32"/>
        </w:rPr>
        <w:t>“三会一课”、主题党日、组织生活会、民主评议党员、谈心谈话等</w:t>
      </w:r>
      <w:r>
        <w:rPr>
          <w:rFonts w:hint="eastAsia" w:ascii="仿宋_GB2312" w:eastAsia="仿宋_GB2312"/>
          <w:sz w:val="32"/>
          <w:szCs w:val="32"/>
        </w:rPr>
        <w:t>组织生活制度</w:t>
      </w:r>
      <w:r>
        <w:rPr>
          <w:rFonts w:hint="eastAsia" w:ascii="仿宋" w:hAnsi="仿宋" w:eastAsia="仿宋" w:cs="Times New Roman"/>
          <w:sz w:val="32"/>
          <w:szCs w:val="32"/>
        </w:rPr>
        <w:t>。一是2020年中心依照支部设置规范要求，完成了支部换届改选，成立了支部委员会。二是制定了支委会会议、党务公开、支部学习、党费收缴、发展党员、“三会一课”、主题党日、党员教育、谈心谈话、民主评议等15项党建管理制度，为支部“五化”建设提供了制度保障。三是中心</w:t>
      </w:r>
      <w:r>
        <w:rPr>
          <w:rFonts w:hint="eastAsia" w:ascii="仿宋" w:hAnsi="仿宋" w:eastAsia="仿宋"/>
          <w:sz w:val="32"/>
          <w:szCs w:val="32"/>
        </w:rPr>
        <w:t>全年组织开展了18次支部全体党员大会暨主题党日学习活动，结合</w:t>
      </w:r>
      <w:r>
        <w:rPr>
          <w:rFonts w:hint="eastAsia" w:ascii="仿宋_GB2312" w:eastAsia="仿宋_GB2312"/>
          <w:sz w:val="32"/>
          <w:szCs w:val="32"/>
        </w:rPr>
        <w:t>缅怀革命先辈，不忘初心使命的系列革命传统教育活动，组织党员前往平江起义纪念馆、花明楼刘少奇故居、十八洞村等地参观学习。四是组织开展了“共产党人要始终牢记初心使命”和“强化政治机关意识、努力做到‘四个带头’”2次主题讲党课活动。五是按照省局机关党委统一部署组织</w:t>
      </w:r>
      <w:r>
        <w:rPr>
          <w:rFonts w:hint="eastAsia" w:ascii="仿宋" w:hAnsi="仿宋" w:eastAsia="仿宋"/>
          <w:sz w:val="32"/>
          <w:szCs w:val="32"/>
        </w:rPr>
        <w:t>开展了意识形态整改专题组织生活会，</w:t>
      </w:r>
      <w:r>
        <w:rPr>
          <w:rFonts w:hint="eastAsia" w:ascii="仿宋_GB2312" w:hAnsi="Times New Roman" w:eastAsia="仿宋_GB2312" w:cs="Times New Roman"/>
          <w:sz w:val="32"/>
          <w:szCs w:val="32"/>
        </w:rPr>
        <w:t>中心及班子成员深入开展了检视问题和广泛征求意见活动，对4项班子检视问题、8项班子成员个人问题进行逐项整改。</w:t>
      </w:r>
      <w:r>
        <w:rPr>
          <w:rFonts w:hint="eastAsia" w:ascii="仿宋_GB2312" w:eastAsia="仿宋_GB2312" w:cs="Times New Roman"/>
          <w:sz w:val="32"/>
          <w:szCs w:val="32"/>
        </w:rPr>
        <w:t>六是</w:t>
      </w:r>
      <w:r>
        <w:rPr>
          <w:rFonts w:hint="eastAsia" w:ascii="仿宋_GB2312" w:hAnsi="Times New Roman" w:eastAsia="仿宋_GB2312" w:cs="Times New Roman"/>
          <w:sz w:val="32"/>
          <w:szCs w:val="32"/>
        </w:rPr>
        <w:t>中心结合干部选拔任命、组织生活会和民主评议党员等活动，全年组织开展29人次的谈心谈话活动。</w:t>
      </w:r>
      <w:r>
        <w:rPr>
          <w:rFonts w:hint="eastAsia" w:ascii="仿宋_GB2312" w:eastAsia="仿宋_GB2312"/>
          <w:sz w:val="32"/>
          <w:szCs w:val="32"/>
        </w:rPr>
        <w:t>七是做好党费收缴、管理，足额上缴党费。八是做好党务公开工作，对党费收缴、评选先进、考核评比等党内事务，都公开公平公正操作，保障全体党员的知情权、参与权。九是抓好党员后备队伍建设，培养1名党员发展对象。</w:t>
      </w:r>
    </w:p>
    <w:p>
      <w:pPr>
        <w:spacing w:line="360" w:lineRule="auto"/>
        <w:ind w:firstLine="626" w:firstLineChars="195"/>
        <w:rPr>
          <w:rFonts w:ascii="黑体" w:hAnsi="黑体" w:eastAsia="黑体"/>
          <w:color w:val="000000"/>
          <w:sz w:val="30"/>
          <w:szCs w:val="30"/>
        </w:rPr>
      </w:pPr>
      <w:r>
        <w:rPr>
          <w:rFonts w:hint="eastAsia" w:ascii="仿宋_GB2312" w:eastAsia="仿宋_GB2312"/>
          <w:b/>
          <w:sz w:val="32"/>
          <w:szCs w:val="32"/>
        </w:rPr>
        <w:t>4.强化意识形态宣传，树立正确价值导向。</w:t>
      </w:r>
      <w:r>
        <w:rPr>
          <w:rFonts w:hint="eastAsia" w:ascii="仿宋_GB2312" w:hAnsi="Times New Roman" w:eastAsia="仿宋_GB2312" w:cs="Times New Roman"/>
          <w:sz w:val="32"/>
          <w:szCs w:val="32"/>
        </w:rPr>
        <w:t>中心落实巡视整改意识形态专题组织生活会会议精神，组织开展了强化政治机关意识的专题党课讲座，以及树立核心意识、增强“四个意识”等意识形态专题理论学习，把意识形态工作贯穿到“三会一课”、“主题党日”活动、党员教育以及日常业务工作要求中，向干部职工宣传教育正确的价值取向，不被形形色色的错误思想所误导、所左右。</w:t>
      </w:r>
    </w:p>
    <w:p>
      <w:pPr>
        <w:spacing w:line="360" w:lineRule="auto"/>
        <w:rPr>
          <w:rFonts w:ascii="黑体" w:hAnsi="黑体" w:eastAsia="黑体"/>
          <w:color w:val="000000"/>
          <w:sz w:val="30"/>
          <w:szCs w:val="30"/>
        </w:rPr>
      </w:pPr>
      <w:r>
        <w:rPr>
          <w:rFonts w:hint="eastAsia" w:ascii="黑体" w:hAnsi="黑体" w:eastAsia="黑体"/>
          <w:color w:val="000000"/>
          <w:sz w:val="30"/>
          <w:szCs w:val="30"/>
        </w:rPr>
        <w:t>（四）全面开展党风廉政建设</w:t>
      </w:r>
    </w:p>
    <w:p>
      <w:pPr>
        <w:wordWrap w:val="0"/>
        <w:spacing w:line="560" w:lineRule="exact"/>
        <w:ind w:firstLine="626" w:firstLineChars="195"/>
        <w:rPr>
          <w:rFonts w:ascii="仿宋_GB2312" w:hAnsi="Times New Roman" w:eastAsia="仿宋_GB2312" w:cs="Times New Roman"/>
          <w:sz w:val="32"/>
          <w:szCs w:val="32"/>
        </w:rPr>
      </w:pPr>
      <w:r>
        <w:rPr>
          <w:rFonts w:hint="eastAsia" w:ascii="仿宋_GB2312" w:eastAsia="仿宋_GB2312"/>
          <w:b/>
          <w:sz w:val="32"/>
          <w:szCs w:val="32"/>
        </w:rPr>
        <w:t>1.强化组织领导，落实主体责任。</w:t>
      </w:r>
      <w:r>
        <w:rPr>
          <w:rFonts w:hint="eastAsia" w:ascii="仿宋_GB2312" w:eastAsia="仿宋_GB2312" w:cs="Times New Roman"/>
          <w:sz w:val="32"/>
          <w:szCs w:val="32"/>
        </w:rPr>
        <w:t>中心建立和实施</w:t>
      </w:r>
      <w:r>
        <w:rPr>
          <w:rFonts w:hint="eastAsia" w:ascii="仿宋_GB2312" w:hAnsi="Times New Roman" w:eastAsia="仿宋_GB2312" w:cs="Times New Roman"/>
          <w:sz w:val="32"/>
          <w:szCs w:val="32"/>
        </w:rPr>
        <w:t>“一把手负总责，科室负责人齐抓共管”的领导体制和工作机制；定期召开评审中心全体人员参加的党风廉政建设专题会议，对党风廉政建设和作风建设等方面进行部署和落实。坚持把党风廉政建设和反腐败工作纳入单位中心工作，实现党风廉政建设同评审中心其它重点工作同部署、同落实、同检查、同考核。</w:t>
      </w:r>
    </w:p>
    <w:p>
      <w:pPr>
        <w:wordWrap w:val="0"/>
        <w:spacing w:line="560" w:lineRule="exact"/>
        <w:ind w:firstLine="626" w:firstLineChars="195"/>
        <w:rPr>
          <w:rFonts w:ascii="仿宋_GB2312" w:hAnsi="Times New Roman" w:eastAsia="仿宋_GB2312" w:cs="Times New Roman"/>
          <w:sz w:val="32"/>
          <w:szCs w:val="32"/>
        </w:rPr>
      </w:pPr>
      <w:r>
        <w:rPr>
          <w:rFonts w:hint="eastAsia" w:ascii="仿宋_GB2312" w:eastAsia="仿宋_GB2312"/>
          <w:b/>
          <w:sz w:val="32"/>
          <w:szCs w:val="32"/>
        </w:rPr>
        <w:t>2.开展宣传教育，筑牢思想防线。</w:t>
      </w:r>
      <w:r>
        <w:rPr>
          <w:rFonts w:hint="eastAsia" w:ascii="仿宋_GB2312" w:hAnsi="Times New Roman" w:eastAsia="仿宋_GB2312" w:cs="Times New Roman"/>
          <w:sz w:val="32"/>
          <w:szCs w:val="32"/>
        </w:rPr>
        <w:t>坚决贯彻落实中央八项规定及其实施细则精神，紧盯“春节”“端午”“五一”</w:t>
      </w:r>
      <w:r>
        <w:rPr>
          <w:rFonts w:hint="eastAsia" w:ascii="仿宋_GB2312" w:eastAsia="仿宋_GB2312" w:cs="Times New Roman"/>
          <w:sz w:val="32"/>
          <w:szCs w:val="32"/>
        </w:rPr>
        <w:t>重大</w:t>
      </w:r>
      <w:r>
        <w:rPr>
          <w:rFonts w:hint="eastAsia" w:ascii="仿宋_GB2312" w:hAnsi="Times New Roman" w:eastAsia="仿宋_GB2312" w:cs="Times New Roman"/>
          <w:sz w:val="32"/>
          <w:szCs w:val="32"/>
        </w:rPr>
        <w:t xml:space="preserve">节假日和重大评审业务项目等关键节点，通过会议、短信息进行廉政提醒。组织开展专题廉政法规和典型警示案例教育，召开了全体干部职工深入学习《廉政准则》、《条例》和中央八项规定精神等重要内容，不断增强党员干部的廉洁自律意识，努力实现良好的教育、警示、震慑效果。  </w:t>
      </w:r>
    </w:p>
    <w:p>
      <w:pPr>
        <w:wordWrap w:val="0"/>
        <w:spacing w:line="560" w:lineRule="exact"/>
        <w:ind w:firstLine="626" w:firstLineChars="195"/>
        <w:rPr>
          <w:rFonts w:ascii="仿宋_GB2312" w:hAnsi="Times New Roman" w:eastAsia="仿宋_GB2312" w:cs="Times New Roman"/>
          <w:sz w:val="32"/>
          <w:szCs w:val="32"/>
        </w:rPr>
      </w:pPr>
      <w:r>
        <w:rPr>
          <w:rFonts w:hint="eastAsia" w:ascii="仿宋_GB2312" w:eastAsia="仿宋_GB2312"/>
          <w:b/>
          <w:sz w:val="32"/>
          <w:szCs w:val="32"/>
        </w:rPr>
        <w:t>3.加强制度建设，健全工作机制。</w:t>
      </w:r>
      <w:r>
        <w:rPr>
          <w:rFonts w:hint="eastAsia" w:ascii="仿宋_GB2312" w:hAnsi="Times New Roman" w:eastAsia="仿宋_GB2312" w:cs="Times New Roman"/>
          <w:sz w:val="32"/>
          <w:szCs w:val="32"/>
        </w:rPr>
        <w:t xml:space="preserve">坚持把制度建设作为重点工作来抓，制定了评审中心《廉政风险管理办法》及一系列制度，主动排查廉政风险点，制定风险防范措施，筑牢廉政防火墙。做到权力到哪里，制度就规范到哪里，充分发挥制度在管人、管权、管事中的根本作用，切实防范权力失控、决策失误和行为失范。坚持重大决策、重大项目安排（包括物资采购）、重大突发事件处置、职工岗位调整和大额资金使用等重大事项集体研究、集体决策。在此基础上进一步完善了财务管理、单位内部事务管理等相关制度，把权力放到制度的笼子里。 </w:t>
      </w:r>
    </w:p>
    <w:p>
      <w:pPr>
        <w:wordWrap w:val="0"/>
        <w:spacing w:line="560" w:lineRule="exact"/>
        <w:rPr>
          <w:rFonts w:ascii="黑体" w:hAnsi="黑体" w:eastAsia="黑体"/>
          <w:color w:val="000000"/>
          <w:sz w:val="30"/>
          <w:szCs w:val="30"/>
        </w:rPr>
      </w:pPr>
      <w:r>
        <w:rPr>
          <w:rFonts w:hint="eastAsia" w:ascii="黑体" w:hAnsi="黑体" w:eastAsia="黑体"/>
          <w:color w:val="000000"/>
          <w:sz w:val="30"/>
          <w:szCs w:val="30"/>
        </w:rPr>
        <w:t>（五）深入开展精神文明创建和平安创建</w:t>
      </w:r>
    </w:p>
    <w:p>
      <w:pPr>
        <w:spacing w:line="360" w:lineRule="auto"/>
        <w:ind w:firstLine="624" w:firstLineChars="195"/>
        <w:rPr>
          <w:rFonts w:ascii="仿宋_GB2312" w:eastAsia="仿宋_GB2312"/>
          <w:sz w:val="32"/>
          <w:szCs w:val="32"/>
        </w:rPr>
      </w:pPr>
      <w:r>
        <w:rPr>
          <w:rFonts w:hint="eastAsia" w:ascii="仿宋_GB2312" w:eastAsia="仿宋_GB2312"/>
          <w:sz w:val="32"/>
          <w:szCs w:val="32"/>
        </w:rPr>
        <w:t>中心将精神文明和平安建设的创建融入到中心重要议事日程，落实到日常业务规划和实施中，建立了精神文明和平安建设的组织领导机构，制定并实施相关工作方案，积极</w:t>
      </w:r>
      <w:r>
        <w:rPr>
          <w:rFonts w:ascii="仿宋_GB2312" w:eastAsia="仿宋_GB2312"/>
          <w:sz w:val="32"/>
          <w:szCs w:val="32"/>
        </w:rPr>
        <w:t>参加对口的</w:t>
      </w:r>
      <w:r>
        <w:rPr>
          <w:rFonts w:hint="eastAsia" w:ascii="仿宋_GB2312" w:eastAsia="仿宋_GB2312"/>
          <w:sz w:val="32"/>
          <w:szCs w:val="32"/>
        </w:rPr>
        <w:t>邵阳大抵村</w:t>
      </w:r>
      <w:r>
        <w:rPr>
          <w:rFonts w:ascii="仿宋_GB2312" w:eastAsia="仿宋_GB2312"/>
          <w:sz w:val="32"/>
          <w:szCs w:val="32"/>
        </w:rPr>
        <w:t>扶贫工作。</w:t>
      </w:r>
      <w:r>
        <w:rPr>
          <w:rFonts w:hint="eastAsia" w:ascii="仿宋_GB2312" w:eastAsia="仿宋_GB2312"/>
          <w:sz w:val="32"/>
          <w:szCs w:val="32"/>
        </w:rPr>
        <w:t>组织开展 “四文明”创建活动，以及致敬白衣天使、捐赠新疆疫区、道德讲堂、最美家书、“大荐书”</w:t>
      </w:r>
      <w:r>
        <w:rPr>
          <w:rFonts w:ascii="仿宋_GB2312" w:eastAsia="仿宋_GB2312"/>
          <w:sz w:val="32"/>
          <w:szCs w:val="32"/>
        </w:rPr>
        <w:t>等活动，以健康向上的文化生活陶冶职工情操</w:t>
      </w:r>
      <w:r>
        <w:rPr>
          <w:rFonts w:hint="eastAsia" w:ascii="仿宋_GB2312" w:eastAsia="仿宋_GB2312"/>
          <w:sz w:val="32"/>
          <w:szCs w:val="32"/>
        </w:rPr>
        <w:t>。中心积极参与所在机关大院的平安共治工作，守好自己的门，管好自己的人，人防、物防和技防措施到位，全年未发生危害国家安全案（事）件、群体性事件、网络安全及舆情事件，未发生进京上访、邪教组织案（事）件，未发生交通事故、火灾事故、刑事治安案件及其他案（事）件。</w:t>
      </w:r>
    </w:p>
    <w:p>
      <w:pPr>
        <w:spacing w:line="360" w:lineRule="auto"/>
        <w:rPr>
          <w:rFonts w:ascii="仿宋_GB2312" w:eastAsia="仿宋_GB2312"/>
          <w:b/>
          <w:sz w:val="32"/>
          <w:szCs w:val="32"/>
        </w:rPr>
      </w:pPr>
      <w:r>
        <w:rPr>
          <w:rFonts w:hint="eastAsia" w:ascii="黑体" w:hAnsi="黑体" w:eastAsia="黑体"/>
          <w:color w:val="000000"/>
          <w:sz w:val="30"/>
          <w:szCs w:val="30"/>
        </w:rPr>
        <w:t>（六）</w:t>
      </w:r>
      <w:r>
        <w:rPr>
          <w:rFonts w:hint="eastAsia" w:ascii="仿宋_GB2312" w:eastAsia="仿宋_GB2312"/>
          <w:b/>
          <w:sz w:val="32"/>
          <w:szCs w:val="32"/>
        </w:rPr>
        <w:t>理顺组织机构，健全制度建设。</w:t>
      </w:r>
    </w:p>
    <w:p>
      <w:pPr>
        <w:spacing w:line="360" w:lineRule="auto"/>
        <w:ind w:firstLine="626" w:firstLineChars="195"/>
        <w:rPr>
          <w:rFonts w:ascii="仿宋" w:hAnsi="仿宋" w:eastAsia="仿宋"/>
          <w:sz w:val="32"/>
          <w:szCs w:val="32"/>
        </w:rPr>
      </w:pPr>
      <w:r>
        <w:rPr>
          <w:rFonts w:hint="eastAsia" w:ascii="仿宋" w:hAnsi="仿宋" w:eastAsia="仿宋"/>
          <w:b/>
          <w:sz w:val="32"/>
          <w:szCs w:val="32"/>
        </w:rPr>
        <w:t>1.加强人事管理，彻底解决中层管理</w:t>
      </w:r>
      <w:r>
        <w:rPr>
          <w:rFonts w:hint="eastAsia" w:ascii="仿宋_GB2312" w:hAnsi="Times New Roman" w:eastAsia="仿宋_GB2312" w:cs="Times New Roman"/>
          <w:b/>
          <w:sz w:val="32"/>
          <w:szCs w:val="32"/>
        </w:rPr>
        <w:t>岗位设置超岗使用</w:t>
      </w:r>
      <w:r>
        <w:rPr>
          <w:rFonts w:hint="eastAsia" w:ascii="仿宋_GB2312" w:eastAsia="仿宋_GB2312" w:cs="Times New Roman"/>
          <w:b/>
          <w:sz w:val="32"/>
          <w:szCs w:val="32"/>
        </w:rPr>
        <w:t>的</w:t>
      </w:r>
      <w:r>
        <w:rPr>
          <w:rFonts w:hint="eastAsia" w:ascii="仿宋" w:hAnsi="仿宋" w:eastAsia="仿宋"/>
          <w:b/>
          <w:sz w:val="32"/>
          <w:szCs w:val="32"/>
        </w:rPr>
        <w:t>历史问题。</w:t>
      </w:r>
      <w:r>
        <w:rPr>
          <w:rFonts w:hint="eastAsia" w:ascii="仿宋" w:hAnsi="仿宋" w:eastAsia="仿宋"/>
          <w:sz w:val="32"/>
          <w:szCs w:val="32"/>
        </w:rPr>
        <w:t>根据事业单位机构管理相关要求，结合实际情况，向省人社厅申报增设了1名正科级岗位，完成了内设机构调整，</w:t>
      </w:r>
      <w:r>
        <w:rPr>
          <w:rFonts w:hint="eastAsia" w:ascii="仿宋_GB2312" w:hAnsi="Times New Roman" w:eastAsia="仿宋_GB2312" w:cs="Times New Roman"/>
          <w:sz w:val="32"/>
          <w:szCs w:val="32"/>
        </w:rPr>
        <w:t>按照事业单位干部选拔任用相关程序，通过民主推荐、组织人事部门考察</w:t>
      </w:r>
      <w:r>
        <w:rPr>
          <w:rFonts w:hint="eastAsia" w:ascii="仿宋_GB2312" w:eastAsia="仿宋_GB2312" w:cs="Times New Roman"/>
          <w:sz w:val="32"/>
          <w:szCs w:val="32"/>
        </w:rPr>
        <w:t>、</w:t>
      </w:r>
      <w:r>
        <w:rPr>
          <w:rFonts w:hint="eastAsia" w:ascii="仿宋_GB2312" w:hAnsi="Times New Roman" w:eastAsia="仿宋_GB2312" w:cs="Times New Roman"/>
          <w:sz w:val="32"/>
          <w:szCs w:val="32"/>
        </w:rPr>
        <w:t>班子讨论决定</w:t>
      </w:r>
      <w:r>
        <w:rPr>
          <w:rFonts w:hint="eastAsia" w:ascii="仿宋_GB2312" w:eastAsia="仿宋_GB2312" w:cs="Times New Roman"/>
          <w:sz w:val="32"/>
          <w:szCs w:val="32"/>
        </w:rPr>
        <w:t>等方式，</w:t>
      </w:r>
      <w:r>
        <w:rPr>
          <w:rFonts w:hint="eastAsia" w:ascii="仿宋" w:hAnsi="仿宋" w:eastAsia="仿宋"/>
          <w:sz w:val="32"/>
          <w:szCs w:val="32"/>
        </w:rPr>
        <w:t>开展了内设机构部门负责人的</w:t>
      </w:r>
      <w:r>
        <w:rPr>
          <w:rFonts w:hint="eastAsia" w:ascii="仿宋_GB2312" w:hAnsi="Times New Roman" w:eastAsia="仿宋_GB2312" w:cs="Times New Roman"/>
          <w:sz w:val="32"/>
          <w:szCs w:val="32"/>
        </w:rPr>
        <w:t>择优</w:t>
      </w:r>
      <w:r>
        <w:rPr>
          <w:rFonts w:hint="eastAsia" w:ascii="仿宋" w:hAnsi="仿宋" w:eastAsia="仿宋"/>
          <w:sz w:val="32"/>
          <w:szCs w:val="32"/>
        </w:rPr>
        <w:t>选拔任用工作。</w:t>
      </w:r>
    </w:p>
    <w:p>
      <w:pPr>
        <w:spacing w:line="590" w:lineRule="exact"/>
        <w:ind w:firstLine="642" w:firstLineChars="200"/>
        <w:rPr>
          <w:rFonts w:ascii="方正仿宋简体" w:eastAsia="方正仿宋简体"/>
          <w:color w:val="000000" w:themeColor="text1"/>
          <w:sz w:val="32"/>
          <w:szCs w:val="32"/>
        </w:rPr>
      </w:pPr>
      <w:r>
        <w:rPr>
          <w:rFonts w:hint="eastAsia" w:ascii="仿宋" w:hAnsi="仿宋" w:eastAsia="仿宋" w:cs="Times New Roman"/>
          <w:b/>
          <w:sz w:val="32"/>
          <w:szCs w:val="32"/>
        </w:rPr>
        <w:t>2.优化管理流程，健全内控体系。</w:t>
      </w:r>
      <w:r>
        <w:rPr>
          <w:rFonts w:hint="eastAsia" w:ascii="仿宋" w:hAnsi="仿宋" w:eastAsia="仿宋" w:cs="Times New Roman"/>
          <w:sz w:val="32"/>
          <w:szCs w:val="32"/>
        </w:rPr>
        <w:t>根据中心内部</w:t>
      </w:r>
      <w:r>
        <w:rPr>
          <w:rFonts w:hint="eastAsia" w:ascii="仿宋" w:hAnsi="仿宋" w:eastAsia="仿宋"/>
          <w:sz w:val="32"/>
          <w:szCs w:val="32"/>
        </w:rPr>
        <w:t>管理需求，结合机构调整实际情况，对现有工作职能和内部综合管理的工作流程进行了全面、系统的梳理和优化，评估了中心现有制度的适宜性，确定了内部综合管理制度的制修订需求，全面修订了内部控制手册以及单位层面、经济活动层面和业务活动层面管理制度，为科学规范、依法依规开展中心各项工作提供了</w:t>
      </w:r>
      <w:r>
        <w:rPr>
          <w:rFonts w:hint="eastAsia" w:ascii="仿宋" w:hAnsi="仿宋" w:eastAsia="仿宋" w:cs="Times New Roman"/>
          <w:sz w:val="32"/>
          <w:szCs w:val="32"/>
        </w:rPr>
        <w:t>有力的保障。</w:t>
      </w:r>
    </w:p>
    <w:p>
      <w:pPr>
        <w:spacing w:line="590" w:lineRule="exact"/>
        <w:ind w:firstLine="640" w:firstLineChars="200"/>
        <w:rPr>
          <w:rFonts w:ascii="方正黑体简体" w:eastAsia="方正黑体简体"/>
          <w:sz w:val="32"/>
          <w:szCs w:val="32"/>
        </w:rPr>
      </w:pPr>
      <w:r>
        <w:rPr>
          <w:rFonts w:hint="eastAsia" w:ascii="方正黑体简体" w:eastAsia="方正黑体简体"/>
          <w:sz w:val="32"/>
          <w:szCs w:val="32"/>
        </w:rPr>
        <w:t>七、存在的主要问题</w:t>
      </w:r>
    </w:p>
    <w:p>
      <w:pPr>
        <w:spacing w:line="560" w:lineRule="exact"/>
        <w:ind w:firstLine="600"/>
        <w:rPr>
          <w:rFonts w:ascii="仿宋_GB2312" w:eastAsia="仿宋_GB2312"/>
          <w:sz w:val="32"/>
          <w:szCs w:val="32"/>
        </w:rPr>
      </w:pPr>
      <w:r>
        <w:rPr>
          <w:rFonts w:hint="eastAsia" w:ascii="仿宋_GB2312" w:eastAsia="仿宋_GB2312"/>
          <w:b/>
          <w:sz w:val="32"/>
          <w:szCs w:val="32"/>
        </w:rPr>
        <w:t>（一）人员经费不足。</w:t>
      </w:r>
      <w:r>
        <w:rPr>
          <w:rFonts w:hint="eastAsia" w:ascii="仿宋_GB2312" w:eastAsia="仿宋_GB2312"/>
          <w:sz w:val="32"/>
          <w:szCs w:val="32"/>
        </w:rPr>
        <w:t>中心当前</w:t>
      </w:r>
      <w:r>
        <w:rPr>
          <w:rFonts w:ascii="仿宋_GB2312" w:eastAsia="仿宋_GB2312"/>
          <w:sz w:val="32"/>
          <w:szCs w:val="32"/>
        </w:rPr>
        <w:t>面临的</w:t>
      </w:r>
      <w:r>
        <w:rPr>
          <w:rFonts w:hint="eastAsia" w:ascii="仿宋_GB2312" w:eastAsia="仿宋_GB2312"/>
          <w:sz w:val="32"/>
          <w:szCs w:val="32"/>
        </w:rPr>
        <w:t>主要</w:t>
      </w:r>
      <w:r>
        <w:rPr>
          <w:rFonts w:ascii="仿宋_GB2312" w:eastAsia="仿宋_GB2312"/>
          <w:sz w:val="32"/>
          <w:szCs w:val="32"/>
        </w:rPr>
        <w:t>大困难是</w:t>
      </w:r>
      <w:r>
        <w:rPr>
          <w:rFonts w:hint="eastAsia" w:ascii="仿宋_GB2312" w:eastAsia="仿宋_GB2312"/>
          <w:sz w:val="32"/>
          <w:szCs w:val="32"/>
        </w:rPr>
        <w:t>运转经费</w:t>
      </w:r>
      <w:r>
        <w:rPr>
          <w:rFonts w:ascii="仿宋_GB2312" w:eastAsia="仿宋_GB2312"/>
          <w:sz w:val="32"/>
          <w:szCs w:val="32"/>
        </w:rPr>
        <w:t>不足。</w:t>
      </w:r>
      <w:r>
        <w:rPr>
          <w:rFonts w:hint="eastAsia" w:ascii="仿宋_GB2312" w:eastAsia="仿宋_GB2312"/>
          <w:sz w:val="32"/>
          <w:szCs w:val="32"/>
        </w:rPr>
        <w:t>2020</w:t>
      </w:r>
      <w:r>
        <w:rPr>
          <w:rFonts w:ascii="仿宋_GB2312" w:eastAsia="仿宋_GB2312"/>
          <w:sz w:val="32"/>
          <w:szCs w:val="32"/>
        </w:rPr>
        <w:t>年财政预算数为</w:t>
      </w:r>
      <w:r>
        <w:rPr>
          <w:rFonts w:hint="eastAsia" w:ascii="仿宋_GB2312" w:eastAsia="仿宋_GB2312"/>
          <w:sz w:val="32"/>
          <w:szCs w:val="32"/>
        </w:rPr>
        <w:t>217.91</w:t>
      </w:r>
      <w:r>
        <w:rPr>
          <w:rFonts w:ascii="仿宋_GB2312" w:eastAsia="仿宋_GB2312"/>
          <w:sz w:val="32"/>
          <w:szCs w:val="32"/>
        </w:rPr>
        <w:t>万元，而按照201</w:t>
      </w:r>
      <w:r>
        <w:rPr>
          <w:rFonts w:hint="eastAsia" w:ascii="仿宋_GB2312" w:eastAsia="仿宋_GB2312"/>
          <w:sz w:val="32"/>
          <w:szCs w:val="32"/>
        </w:rPr>
        <w:t>9</w:t>
      </w:r>
      <w:r>
        <w:rPr>
          <w:rFonts w:ascii="仿宋_GB2312" w:eastAsia="仿宋_GB2312"/>
          <w:sz w:val="32"/>
          <w:szCs w:val="32"/>
        </w:rPr>
        <w:t>年度的实际发生额，</w:t>
      </w:r>
      <w:r>
        <w:rPr>
          <w:rFonts w:hint="eastAsia" w:ascii="仿宋_GB2312" w:eastAsia="仿宋_GB2312"/>
          <w:sz w:val="32"/>
          <w:szCs w:val="32"/>
        </w:rPr>
        <w:t>仍有50万元的资金缺口。</w:t>
      </w:r>
    </w:p>
    <w:p>
      <w:pPr>
        <w:spacing w:line="600" w:lineRule="exact"/>
        <w:ind w:firstLine="626" w:firstLineChars="195"/>
        <w:rPr>
          <w:rFonts w:ascii="仿宋" w:hAnsi="仿宋" w:eastAsia="仿宋"/>
          <w:sz w:val="32"/>
          <w:szCs w:val="32"/>
        </w:rPr>
      </w:pPr>
      <w:r>
        <w:rPr>
          <w:rFonts w:hint="eastAsia" w:ascii="仿宋_GB2312" w:eastAsia="仿宋_GB2312"/>
          <w:b/>
          <w:sz w:val="32"/>
          <w:szCs w:val="32"/>
        </w:rPr>
        <w:t>（二）</w:t>
      </w:r>
      <w:r>
        <w:rPr>
          <w:rFonts w:ascii="仿宋_GB2312" w:eastAsia="仿宋_GB2312"/>
          <w:b/>
          <w:sz w:val="32"/>
          <w:szCs w:val="32"/>
        </w:rPr>
        <w:t>没有创收手段。</w:t>
      </w:r>
      <w:r>
        <w:rPr>
          <w:rFonts w:ascii="仿宋" w:hAnsi="仿宋" w:eastAsia="仿宋"/>
          <w:sz w:val="32"/>
          <w:szCs w:val="32"/>
        </w:rPr>
        <w:t>中心承担了省局委托的行政许可方面的技术评审组织工作，</w:t>
      </w:r>
      <w:r>
        <w:rPr>
          <w:rFonts w:hint="eastAsia" w:ascii="仿宋" w:hAnsi="仿宋" w:eastAsia="仿宋"/>
          <w:sz w:val="32"/>
          <w:szCs w:val="32"/>
        </w:rPr>
        <w:t>就</w:t>
      </w:r>
      <w:r>
        <w:rPr>
          <w:rFonts w:ascii="仿宋" w:hAnsi="仿宋" w:eastAsia="仿宋"/>
          <w:sz w:val="32"/>
          <w:szCs w:val="32"/>
        </w:rPr>
        <w:t>不</w:t>
      </w:r>
      <w:r>
        <w:rPr>
          <w:rFonts w:hint="eastAsia" w:ascii="仿宋" w:hAnsi="仿宋" w:eastAsia="仿宋"/>
          <w:sz w:val="32"/>
          <w:szCs w:val="32"/>
        </w:rPr>
        <w:t>能再</w:t>
      </w:r>
      <w:r>
        <w:rPr>
          <w:rFonts w:ascii="仿宋" w:hAnsi="仿宋" w:eastAsia="仿宋"/>
          <w:sz w:val="32"/>
          <w:szCs w:val="32"/>
        </w:rPr>
        <w:t>从事与</w:t>
      </w:r>
      <w:r>
        <w:rPr>
          <w:rFonts w:hint="eastAsia" w:ascii="仿宋" w:hAnsi="仿宋" w:eastAsia="仿宋"/>
          <w:sz w:val="32"/>
          <w:szCs w:val="32"/>
        </w:rPr>
        <w:t>此</w:t>
      </w:r>
      <w:r>
        <w:rPr>
          <w:rFonts w:ascii="仿宋" w:hAnsi="仿宋" w:eastAsia="仿宋"/>
          <w:sz w:val="32"/>
          <w:szCs w:val="32"/>
        </w:rPr>
        <w:t>相关的咨询培训业务</w:t>
      </w:r>
      <w:r>
        <w:rPr>
          <w:rFonts w:hint="eastAsia" w:ascii="仿宋" w:hAnsi="仿宋" w:eastAsia="仿宋"/>
          <w:sz w:val="32"/>
          <w:szCs w:val="32"/>
        </w:rPr>
        <w:t>，且作为事业单位</w:t>
      </w:r>
      <w:r>
        <w:rPr>
          <w:rFonts w:ascii="仿宋" w:hAnsi="仿宋" w:eastAsia="仿宋"/>
          <w:sz w:val="32"/>
          <w:szCs w:val="32"/>
        </w:rPr>
        <w:t>缺乏市场化运作手段</w:t>
      </w:r>
      <w:r>
        <w:rPr>
          <w:rFonts w:hint="eastAsia" w:ascii="仿宋" w:hAnsi="仿宋" w:eastAsia="仿宋"/>
          <w:sz w:val="32"/>
          <w:szCs w:val="32"/>
        </w:rPr>
        <w:t>和竞争机制</w:t>
      </w:r>
      <w:r>
        <w:rPr>
          <w:rFonts w:ascii="仿宋" w:hAnsi="仿宋" w:eastAsia="仿宋"/>
          <w:sz w:val="32"/>
          <w:szCs w:val="32"/>
        </w:rPr>
        <w:t>，</w:t>
      </w:r>
      <w:r>
        <w:rPr>
          <w:rFonts w:hint="eastAsia" w:ascii="仿宋_GB2312" w:eastAsia="仿宋_GB2312"/>
          <w:sz w:val="32"/>
          <w:szCs w:val="32"/>
        </w:rPr>
        <w:t>影响了其他自主创收业务的开拓。</w:t>
      </w:r>
    </w:p>
    <w:p>
      <w:pPr>
        <w:spacing w:line="600" w:lineRule="exact"/>
        <w:ind w:firstLine="626" w:firstLineChars="195"/>
        <w:rPr>
          <w:rFonts w:ascii="仿宋" w:hAnsi="仿宋" w:eastAsia="仿宋"/>
          <w:sz w:val="32"/>
          <w:szCs w:val="32"/>
        </w:rPr>
      </w:pPr>
      <w:r>
        <w:rPr>
          <w:rFonts w:hint="eastAsia" w:ascii="仿宋_GB2312" w:eastAsia="仿宋_GB2312"/>
          <w:b/>
          <w:sz w:val="32"/>
          <w:szCs w:val="32"/>
        </w:rPr>
        <w:t>（三）</w:t>
      </w:r>
      <w:r>
        <w:rPr>
          <w:rFonts w:ascii="仿宋_GB2312" w:eastAsia="仿宋_GB2312"/>
          <w:b/>
          <w:sz w:val="32"/>
          <w:szCs w:val="32"/>
        </w:rPr>
        <w:t>专项经费支持有限。</w:t>
      </w:r>
      <w:r>
        <w:rPr>
          <w:rFonts w:ascii="仿宋" w:hAnsi="仿宋" w:eastAsia="仿宋"/>
          <w:sz w:val="32"/>
          <w:szCs w:val="32"/>
        </w:rPr>
        <w:t>一是业务处室拨付的专项经费少；二是专项经费有专项用途，没有结余，不能弥补评审中心工作经费的不足。</w:t>
      </w:r>
    </w:p>
    <w:p>
      <w:pPr>
        <w:spacing w:line="600" w:lineRule="exact"/>
        <w:ind w:firstLine="626" w:firstLineChars="195"/>
        <w:rPr>
          <w:rFonts w:ascii="仿宋" w:hAnsi="仿宋" w:eastAsia="仿宋"/>
          <w:sz w:val="32"/>
          <w:szCs w:val="32"/>
        </w:rPr>
      </w:pPr>
      <w:r>
        <w:rPr>
          <w:rFonts w:hint="eastAsia" w:ascii="仿宋" w:hAnsi="仿宋" w:eastAsia="仿宋"/>
          <w:b/>
          <w:sz w:val="32"/>
          <w:szCs w:val="32"/>
        </w:rPr>
        <w:t>（四）工作职能未落实到位。</w:t>
      </w:r>
      <w:r>
        <w:rPr>
          <w:rFonts w:hint="eastAsia" w:ascii="仿宋" w:hAnsi="仿宋" w:eastAsia="仿宋"/>
          <w:sz w:val="32"/>
          <w:szCs w:val="32"/>
        </w:rPr>
        <w:t>“三定”赋予评审中心“承担质量技术监督系统的技术评审、认证认可方面的技术评审、产品和服务方面的技术评审”等职能，2019年上半年，省局暂停了评审中心信用等级评定项目。除了目前开展的检验检测机构资质认定技术评审外，“三定”赋予的其他职能均未落实到位。</w:t>
      </w:r>
    </w:p>
    <w:p>
      <w:pPr>
        <w:ind w:firstLine="640" w:firstLineChars="200"/>
        <w:rPr>
          <w:rFonts w:ascii="方正黑体简体" w:eastAsia="方正黑体简体"/>
          <w:sz w:val="32"/>
          <w:szCs w:val="32"/>
        </w:rPr>
      </w:pPr>
      <w:r>
        <w:rPr>
          <w:rFonts w:hint="eastAsia" w:ascii="方正黑体简体" w:eastAsia="方正黑体简体"/>
          <w:sz w:val="32"/>
          <w:szCs w:val="32"/>
        </w:rPr>
        <w:t>八、改进措施和有关建议</w:t>
      </w:r>
    </w:p>
    <w:p>
      <w:pPr>
        <w:numPr>
          <w:ilvl w:val="0"/>
          <w:numId w:val="4"/>
        </w:numPr>
        <w:spacing w:line="560" w:lineRule="exact"/>
        <w:ind w:firstLine="200"/>
        <w:rPr>
          <w:rFonts w:ascii="仿宋_GB2312" w:eastAsia="仿宋_GB2312"/>
          <w:sz w:val="32"/>
          <w:szCs w:val="32"/>
        </w:rPr>
      </w:pPr>
      <w:r>
        <w:rPr>
          <w:rFonts w:hint="eastAsia" w:ascii="仿宋_GB2312" w:eastAsia="仿宋_GB2312"/>
          <w:b/>
          <w:sz w:val="32"/>
          <w:szCs w:val="32"/>
        </w:rPr>
        <w:t>继续规范开展检验检测机构资质认定评审工作。</w:t>
      </w:r>
      <w:r>
        <w:rPr>
          <w:rFonts w:hint="eastAsia" w:ascii="仿宋" w:hAnsi="仿宋" w:eastAsia="仿宋"/>
          <w:sz w:val="32"/>
          <w:szCs w:val="32"/>
        </w:rPr>
        <w:t>严格按照《检验检测机构资质评定管理办法》及有关要求，规范开展检验检测机构资质评定工作，组织开展检验检测资质认定评审组长业务研讨，以及检验检测机构授权签字人、质量负责人、质量监督员、内审员等关键岗位人员的业务学习，提高评审人员的业务素质，促进检验检测机构规范运作，全面完成省局下达的评审任务。</w:t>
      </w:r>
    </w:p>
    <w:p>
      <w:pPr>
        <w:numPr>
          <w:ilvl w:val="0"/>
          <w:numId w:val="4"/>
        </w:numPr>
        <w:spacing w:line="560" w:lineRule="exact"/>
        <w:ind w:firstLine="200"/>
        <w:rPr>
          <w:rFonts w:ascii="仿宋_GB2312" w:eastAsia="仿宋_GB2312"/>
          <w:sz w:val="32"/>
          <w:szCs w:val="32"/>
        </w:rPr>
      </w:pPr>
      <w:r>
        <w:rPr>
          <w:rFonts w:hint="eastAsia" w:ascii="仿宋_GB2312" w:eastAsia="仿宋_GB2312"/>
          <w:b/>
          <w:sz w:val="32"/>
          <w:szCs w:val="32"/>
        </w:rPr>
        <w:t>继续加强“五化”建设，巩固党建工作成果。</w:t>
      </w:r>
      <w:r>
        <w:rPr>
          <w:rFonts w:hint="eastAsia" w:ascii="仿宋_GB2312" w:eastAsia="仿宋_GB2312"/>
          <w:sz w:val="32"/>
          <w:szCs w:val="32"/>
        </w:rPr>
        <w:t>继续贯彻落实习近平新时代中国特色社会主义思想理论学习，深入贯彻落实“五化”建设要求，巩固党建标准化工作成果。一是深入推进学习型党组织建设，持续深入学习习近平新时代中国特色社会主义思想，巩固主题教育活动成果。二是加强组织建设，全面夯实党建工作基础。三是继续推进支部“五化”建设，规范开展“三会一课”、组织生活会等制度，组织开展调研、学习参观等多种形式主题党日活动。四是加强党员教育管理监督。强化支部把关作用，完善党员教育管理，严格执行组织生活、学习培训制度。</w:t>
      </w:r>
    </w:p>
    <w:p>
      <w:pPr>
        <w:wordWrap w:val="0"/>
        <w:spacing w:line="560" w:lineRule="exact"/>
        <w:ind w:firstLine="200"/>
        <w:rPr>
          <w:rFonts w:ascii="仿宋_GB2312" w:eastAsia="仿宋_GB2312"/>
          <w:sz w:val="32"/>
          <w:szCs w:val="32"/>
        </w:rPr>
      </w:pPr>
      <w:r>
        <w:rPr>
          <w:rFonts w:hint="eastAsia" w:ascii="仿宋_GB2312" w:eastAsia="仿宋_GB2312"/>
          <w:b/>
          <w:sz w:val="32"/>
          <w:szCs w:val="32"/>
        </w:rPr>
        <w:t>（三）持续正风肃纪，强化廉政建设工作效果。</w:t>
      </w:r>
      <w:r>
        <w:rPr>
          <w:rFonts w:hint="eastAsia" w:ascii="仿宋_GB2312" w:eastAsia="仿宋_GB2312"/>
          <w:sz w:val="32"/>
          <w:szCs w:val="32"/>
        </w:rPr>
        <w:t>把思想警示教育贯穿学习教育全过程，不断创新教育方式、充实教育内容，教育引导党员干部真正在心理上受警醒、明底线、知敬畏。进一步健全完善落实中央八项规定精神、纠正“四风”长效机制。加强纪检监察干部专业化能力建设，继续做好廉政风险排查工作，防患于未然，对主要廉政风险实施动态管理。</w:t>
      </w:r>
    </w:p>
    <w:p>
      <w:pPr>
        <w:spacing w:line="560" w:lineRule="exact"/>
        <w:ind w:firstLine="200"/>
        <w:rPr>
          <w:rFonts w:ascii="仿宋_GB2312" w:eastAsia="仿宋_GB2312"/>
          <w:sz w:val="32"/>
          <w:szCs w:val="32"/>
        </w:rPr>
      </w:pPr>
      <w:r>
        <w:rPr>
          <w:rFonts w:hint="eastAsia" w:ascii="仿宋_GB2312" w:eastAsia="仿宋_GB2312"/>
          <w:b/>
          <w:sz w:val="32"/>
          <w:szCs w:val="32"/>
        </w:rPr>
        <w:t>（四）继续推进文明创建和平安建设。</w:t>
      </w:r>
      <w:r>
        <w:rPr>
          <w:rFonts w:hint="eastAsia" w:ascii="仿宋_GB2312" w:eastAsia="仿宋_GB2312"/>
          <w:sz w:val="32"/>
          <w:szCs w:val="32"/>
        </w:rPr>
        <w:t>深化中国特色社会主义和中国梦宣传教育，突出社会主义核心价值观的培育践行，深化文明单位创建和平安建设工作，丰富创建内涵，提高创建水平。继续开展扶贫帮困工作，开展文明科室、文明个人、文明家庭的评比活动，并以此为抓手促进中心作风建设，进一步适应市场监管发展新要求，转作风树新风、提状态树形象，提高干部职工思想道德素质和业务水平</w:t>
      </w:r>
    </w:p>
    <w:p>
      <w:pPr>
        <w:spacing w:line="560" w:lineRule="exact"/>
        <w:ind w:firstLine="200"/>
        <w:rPr>
          <w:rFonts w:ascii="仿宋" w:hAnsi="仿宋" w:eastAsia="仿宋" w:cs="Times New Roman"/>
          <w:sz w:val="32"/>
          <w:szCs w:val="32"/>
        </w:rPr>
      </w:pPr>
      <w:r>
        <w:rPr>
          <w:rFonts w:hint="eastAsia" w:ascii="仿宋" w:hAnsi="仿宋" w:eastAsia="仿宋" w:cs="Times New Roman"/>
          <w:b/>
          <w:sz w:val="32"/>
          <w:szCs w:val="32"/>
        </w:rPr>
        <w:t>（五）对接业务处室，搞好服务工作。</w:t>
      </w:r>
      <w:r>
        <w:rPr>
          <w:rFonts w:hint="eastAsia" w:ascii="仿宋" w:hAnsi="仿宋" w:eastAsia="仿宋" w:cs="Times New Roman"/>
          <w:sz w:val="32"/>
          <w:szCs w:val="32"/>
        </w:rPr>
        <w:t>主动对接省局质量发展局、标准化处、计量处、认证监督管理处、认可与检验检测监督管理处等业务处室，对承接的相关业务工作当好参谋，搞好服务，按质按量按时完成有关业务工作任务。</w:t>
      </w:r>
    </w:p>
    <w:p>
      <w:pPr>
        <w:ind w:firstLine="200"/>
        <w:rPr>
          <w:rFonts w:ascii="仿宋" w:hAnsi="仿宋" w:eastAsia="仿宋"/>
          <w:b/>
          <w:sz w:val="32"/>
          <w:szCs w:val="32"/>
        </w:rPr>
      </w:pPr>
      <w:r>
        <w:rPr>
          <w:rFonts w:hint="eastAsia" w:ascii="仿宋" w:hAnsi="仿宋" w:eastAsia="仿宋"/>
          <w:b/>
          <w:sz w:val="32"/>
          <w:szCs w:val="32"/>
        </w:rPr>
        <w:t>（六）积极参与市场竞争，增强创收能力。</w:t>
      </w:r>
    </w:p>
    <w:p>
      <w:pPr>
        <w:spacing w:line="560" w:lineRule="exact"/>
        <w:ind w:firstLine="200"/>
        <w:rPr>
          <w:rFonts w:ascii="仿宋_GB2312" w:eastAsia="仿宋_GB2312"/>
          <w:b/>
          <w:sz w:val="32"/>
          <w:szCs w:val="32"/>
        </w:rPr>
      </w:pPr>
      <w:r>
        <w:rPr>
          <w:rFonts w:hint="eastAsia" w:ascii="仿宋_GB2312" w:eastAsia="仿宋_GB2312"/>
          <w:sz w:val="32"/>
          <w:szCs w:val="32"/>
        </w:rPr>
        <w:t>继续积极参与市场竞争，主动开</w:t>
      </w:r>
      <w:r>
        <w:rPr>
          <w:rFonts w:ascii="仿宋_GB2312" w:eastAsia="仿宋_GB2312"/>
          <w:sz w:val="32"/>
          <w:szCs w:val="32"/>
        </w:rPr>
        <w:t>拓</w:t>
      </w:r>
      <w:r>
        <w:rPr>
          <w:rFonts w:hint="eastAsia" w:ascii="仿宋_GB2312" w:eastAsia="仿宋_GB2312"/>
          <w:sz w:val="32"/>
          <w:szCs w:val="32"/>
        </w:rPr>
        <w:t>业务，增强自主创收能力。通过公平、公正的招投标竞争方式，承接市场监管系统内技术评审服务项目。</w:t>
      </w:r>
    </w:p>
    <w:p>
      <w:pPr>
        <w:spacing w:line="560" w:lineRule="exact"/>
        <w:ind w:firstLine="200"/>
        <w:rPr>
          <w:rFonts w:ascii="方正仿宋简体" w:eastAsia="方正仿宋简体"/>
          <w:sz w:val="32"/>
          <w:szCs w:val="32"/>
        </w:rPr>
      </w:pPr>
      <w:r>
        <w:rPr>
          <w:rFonts w:hint="eastAsia" w:ascii="仿宋_GB2312" w:eastAsia="仿宋_GB2312"/>
          <w:b/>
          <w:sz w:val="32"/>
          <w:szCs w:val="32"/>
        </w:rPr>
        <w:t>（七）按照省局决策部署，做好中心机构改革工作。</w:t>
      </w:r>
      <w:r>
        <w:rPr>
          <w:rFonts w:hint="eastAsia" w:ascii="仿宋_GB2312" w:eastAsia="仿宋_GB2312"/>
          <w:sz w:val="32"/>
          <w:szCs w:val="32"/>
        </w:rPr>
        <w:t>2021年面临全省事业单位机构改革，中心将按照省局决策部署，做好相关工作衔接，做好干部职工思想工作，确保改革工作顺利开展。</w:t>
      </w:r>
    </w:p>
    <w:p>
      <w:pPr>
        <w:rPr>
          <w:rFonts w:ascii="方正仿宋简体" w:eastAsia="方正仿宋简体"/>
          <w:b/>
          <w:sz w:val="32"/>
          <w:szCs w:val="32"/>
        </w:rPr>
      </w:pPr>
    </w:p>
    <w:p>
      <w:pPr>
        <w:widowControl/>
        <w:jc w:val="left"/>
        <w:rPr>
          <w:rFonts w:cs="黑体" w:asciiTheme="minorEastAsia" w:hAnsiTheme="minorEastAsia"/>
          <w:color w:val="000000"/>
          <w:kern w:val="0"/>
          <w:sz w:val="32"/>
          <w:szCs w:val="32"/>
        </w:rPr>
      </w:pPr>
    </w:p>
    <w:sectPr>
      <w:pgSz w:w="11906" w:h="16838"/>
      <w:pgMar w:top="1985" w:right="1474" w:bottom="1440"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left:257.05pt;margin-top:12.55pt;height:11pt;width:33.45pt;mso-position-horizontal-relative:margin;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jc w:val="center"/>
                  <w:rPr>
                    <w:rFonts w:asciiTheme="majorEastAsia" w:hAnsiTheme="majorEastAsia" w:eastAsiaTheme="majorEastAsia"/>
                    <w:sz w:val="24"/>
                  </w:rPr>
                </w:pP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  \* MERGEFORMAT </w:instrText>
                </w:r>
                <w:r>
                  <w:rPr>
                    <w:rFonts w:asciiTheme="majorEastAsia" w:hAnsiTheme="majorEastAsia" w:eastAsiaTheme="majorEastAsia"/>
                    <w:sz w:val="24"/>
                  </w:rPr>
                  <w:fldChar w:fldCharType="separate"/>
                </w:r>
                <w:r>
                  <w:rPr>
                    <w:rFonts w:asciiTheme="majorEastAsia" w:hAnsiTheme="majorEastAsia" w:eastAsiaTheme="majorEastAsia"/>
                    <w:sz w:val="24"/>
                  </w:rPr>
                  <w:t>2</w:t>
                </w:r>
                <w:r>
                  <w:rPr>
                    <w:rFonts w:asciiTheme="majorEastAsia" w:hAnsiTheme="majorEastAsia" w:eastAsiaTheme="majorEastAsia"/>
                    <w:sz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2690321"/>
      <w:docPartObj>
        <w:docPartGallery w:val="autotext"/>
      </w:docPartObj>
    </w:sdtPr>
    <w:sdtEndPr>
      <w:rPr>
        <w:rFonts w:asciiTheme="majorEastAsia" w:hAnsiTheme="majorEastAsia" w:eastAsiaTheme="majorEastAsia"/>
        <w:sz w:val="24"/>
      </w:rPr>
    </w:sdtEndPr>
    <w:sdtContent>
      <w:p>
        <w:pPr>
          <w:pStyle w:val="4"/>
          <w:jc w:val="center"/>
          <w:rPr>
            <w:rFonts w:asciiTheme="majorEastAsia" w:hAnsiTheme="majorEastAsia" w:eastAsiaTheme="majorEastAsia"/>
            <w:sz w:val="24"/>
          </w:rPr>
        </w:pPr>
        <w:r>
          <w:rPr>
            <w:rFonts w:asciiTheme="majorEastAsia" w:hAnsiTheme="majorEastAsia" w:eastAsiaTheme="majorEastAsia"/>
            <w:sz w:val="24"/>
          </w:rPr>
          <w:fldChar w:fldCharType="begin"/>
        </w:r>
        <w:r>
          <w:rPr>
            <w:rFonts w:asciiTheme="majorEastAsia" w:hAnsiTheme="majorEastAsia" w:eastAsiaTheme="majorEastAsia"/>
            <w:sz w:val="24"/>
          </w:rPr>
          <w:instrText xml:space="preserve">PAGE   \* MERGEFORMAT</w:instrText>
        </w:r>
        <w:r>
          <w:rPr>
            <w:rFonts w:asciiTheme="majorEastAsia" w:hAnsiTheme="majorEastAsia" w:eastAsiaTheme="majorEastAsia"/>
            <w:sz w:val="24"/>
          </w:rPr>
          <w:fldChar w:fldCharType="separate"/>
        </w:r>
        <w:r>
          <w:rPr>
            <w:rFonts w:asciiTheme="majorEastAsia" w:hAnsiTheme="majorEastAsia" w:eastAsiaTheme="majorEastAsia"/>
            <w:sz w:val="24"/>
            <w:lang w:val="zh-CN"/>
          </w:rPr>
          <w:t>26</w:t>
        </w:r>
        <w:r>
          <w:rPr>
            <w:rFonts w:asciiTheme="majorEastAsia" w:hAnsiTheme="majorEastAsia" w:eastAsiaTheme="majorEastAsia"/>
            <w:sz w:val="24"/>
          </w:rP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655997"/>
      <w:docPartObj>
        <w:docPartGallery w:val="autotext"/>
      </w:docPartObj>
    </w:sdtPr>
    <w:sdtEndPr>
      <w:rPr>
        <w:rFonts w:asciiTheme="minorEastAsia" w:hAnsiTheme="minorEastAsia"/>
        <w:sz w:val="24"/>
        <w:szCs w:val="24"/>
      </w:rPr>
    </w:sdtEndPr>
    <w:sdtContent>
      <w:p>
        <w:pPr>
          <w:pStyle w:val="4"/>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37</w:t>
        </w:r>
        <w:r>
          <w:rPr>
            <w:rFonts w:asciiTheme="minorEastAsia" w:hAnsiTheme="minorEastAsia"/>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31080"/>
      <w:docPartObj>
        <w:docPartGallery w:val="autotext"/>
      </w:docPartObj>
    </w:sdtPr>
    <w:sdtEndPr>
      <w:rPr>
        <w:rFonts w:asciiTheme="minorEastAsia" w:hAnsiTheme="minorEastAsia"/>
        <w:sz w:val="24"/>
        <w:szCs w:val="24"/>
      </w:rPr>
    </w:sdtEndPr>
    <w:sdtContent>
      <w:p>
        <w:pPr>
          <w:pStyle w:val="4"/>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12</w:t>
        </w:r>
        <w:r>
          <w:rPr>
            <w:rFonts w:asciiTheme="minorEastAsia" w:hAnsiTheme="minorEastAsia"/>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AA703"/>
    <w:multiLevelType w:val="singleLevel"/>
    <w:tmpl w:val="966AA703"/>
    <w:lvl w:ilvl="0" w:tentative="0">
      <w:start w:val="2"/>
      <w:numFmt w:val="decimal"/>
      <w:suff w:val="nothing"/>
      <w:lvlText w:val="%1、"/>
      <w:lvlJc w:val="left"/>
    </w:lvl>
  </w:abstractNum>
  <w:abstractNum w:abstractNumId="1">
    <w:nsid w:val="2F000000"/>
    <w:multiLevelType w:val="multilevel"/>
    <w:tmpl w:val="2F000000"/>
    <w:lvl w:ilvl="0" w:tentative="0">
      <w:start w:val="1"/>
      <w:numFmt w:val="chineseCounting"/>
      <w:suff w:val="nothing"/>
      <w:lvlText w:val="（%1）"/>
      <w:lvlJc w:val="left"/>
      <w:rPr>
        <w:rFonts w:hint="eastAsia"/>
      </w:rPr>
    </w:lvl>
    <w:lvl w:ilvl="1" w:tentative="0">
      <w:start w:val="1"/>
      <w:numFmt w:val="chineseCounting"/>
      <w:suff w:val="nothing"/>
      <w:lvlText w:val="（%1）"/>
      <w:lvlJc w:val="left"/>
      <w:rPr>
        <w:rFonts w:hint="eastAsia"/>
      </w:rPr>
    </w:lvl>
    <w:lvl w:ilvl="2" w:tentative="0">
      <w:start w:val="1"/>
      <w:numFmt w:val="chineseCounting"/>
      <w:suff w:val="nothing"/>
      <w:lvlText w:val="（%1）"/>
      <w:lvlJc w:val="left"/>
      <w:rPr>
        <w:rFonts w:hint="eastAsia"/>
      </w:rPr>
    </w:lvl>
    <w:lvl w:ilvl="3" w:tentative="0">
      <w:start w:val="1"/>
      <w:numFmt w:val="chineseCounting"/>
      <w:suff w:val="nothing"/>
      <w:lvlText w:val="（%1）"/>
      <w:lvlJc w:val="left"/>
      <w:rPr>
        <w:rFonts w:hint="eastAsia"/>
      </w:rPr>
    </w:lvl>
    <w:lvl w:ilvl="4" w:tentative="0">
      <w:start w:val="1"/>
      <w:numFmt w:val="chineseCounting"/>
      <w:suff w:val="nothing"/>
      <w:lvlText w:val="（%1）"/>
      <w:lvlJc w:val="left"/>
      <w:rPr>
        <w:rFonts w:hint="eastAsia"/>
      </w:rPr>
    </w:lvl>
    <w:lvl w:ilvl="5" w:tentative="0">
      <w:start w:val="1"/>
      <w:numFmt w:val="chineseCounting"/>
      <w:suff w:val="nothing"/>
      <w:lvlText w:val="（%1）"/>
      <w:lvlJc w:val="left"/>
      <w:rPr>
        <w:rFonts w:hint="eastAsia"/>
      </w:rPr>
    </w:lvl>
    <w:lvl w:ilvl="6" w:tentative="0">
      <w:start w:val="1"/>
      <w:numFmt w:val="chineseCounting"/>
      <w:suff w:val="nothing"/>
      <w:lvlText w:val="（%1）"/>
      <w:lvlJc w:val="left"/>
      <w:rPr>
        <w:rFonts w:hint="eastAsia"/>
      </w:rPr>
    </w:lvl>
    <w:lvl w:ilvl="7" w:tentative="0">
      <w:start w:val="1"/>
      <w:numFmt w:val="chineseCounting"/>
      <w:suff w:val="nothing"/>
      <w:lvlText w:val="（%1）"/>
      <w:lvlJc w:val="left"/>
      <w:rPr>
        <w:rFonts w:hint="eastAsia"/>
      </w:rPr>
    </w:lvl>
    <w:lvl w:ilvl="8"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27856E"/>
    <w:multiLevelType w:val="singleLevel"/>
    <w:tmpl w:val="7527856E"/>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A6C43"/>
    <w:rsid w:val="001A6C43"/>
    <w:rsid w:val="00253129"/>
    <w:rsid w:val="00547122"/>
    <w:rsid w:val="005F3FD2"/>
    <w:rsid w:val="006853D6"/>
    <w:rsid w:val="00971B91"/>
    <w:rsid w:val="00A55C53"/>
    <w:rsid w:val="00EE412C"/>
    <w:rsid w:val="00FC434F"/>
    <w:rsid w:val="0D7DDEF4"/>
    <w:rsid w:val="1D3E5B63"/>
    <w:rsid w:val="22D30BC0"/>
    <w:rsid w:val="2753521A"/>
    <w:rsid w:val="54DF062F"/>
    <w:rsid w:val="57DD3A47"/>
    <w:rsid w:val="66354E46"/>
    <w:rsid w:val="6D1E11B0"/>
    <w:rsid w:val="6E762DFE"/>
    <w:rsid w:val="7B3FB2B8"/>
    <w:rsid w:val="CF7D866B"/>
    <w:rsid w:val="F78E9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0"/>
    <w:pPr>
      <w:ind w:firstLine="420" w:firstLineChars="200"/>
    </w:pPr>
  </w:style>
  <w:style w:type="character" w:customStyle="1" w:styleId="14">
    <w:name w:val="批注框文本 Char"/>
    <w:basedOn w:val="8"/>
    <w:link w:val="3"/>
    <w:semiHidden/>
    <w:qFormat/>
    <w:uiPriority w:val="99"/>
    <w:rPr>
      <w:sz w:val="18"/>
      <w:szCs w:val="18"/>
    </w:rPr>
  </w:style>
  <w:style w:type="character" w:customStyle="1" w:styleId="15">
    <w:name w:val="标题 1 Char"/>
    <w:basedOn w:val="8"/>
    <w:link w:val="2"/>
    <w:qFormat/>
    <w:uiPriority w:val="9"/>
    <w:rPr>
      <w:rFonts w:asciiTheme="minorHAnsi" w:hAnsiTheme="minorHAnsi" w:eastAsiaTheme="minorEastAsia" w:cstheme="minorBidi"/>
      <w:b/>
      <w:kern w:val="44"/>
      <w:sz w:val="4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2532</Words>
  <Characters>14433</Characters>
  <Lines>120</Lines>
  <Paragraphs>33</Paragraphs>
  <TotalTime>32</TotalTime>
  <ScaleCrop>false</ScaleCrop>
  <LinksUpToDate>false</LinksUpToDate>
  <CharactersWithSpaces>16932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2021-08-31T18:48:00Z</dcterms:created>
  <dc:creator>李航 null</dc:creator>
  <cp:lastModifiedBy>kylin</cp:lastModifiedBy>
  <cp:lastPrinted>2021-08-06T00:54:00Z</cp:lastPrinted>
  <dcterms:modified xsi:type="dcterms:W3CDTF">2024-07-04T11:55:13Z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C84AD96275A8416BA8C5643EB53D9073</vt:lpwstr>
  </property>
</Properties>
</file>