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0"/>
        <w:jc w:val="center"/>
        <w:rPr>
          <w:rFonts w:cs="Times New Roman"/>
          <w:sz w:val="52"/>
          <w:szCs w:val="52"/>
        </w:rPr>
      </w:pPr>
    </w:p>
    <w:p>
      <w:pPr>
        <w:pStyle w:val="10"/>
        <w:spacing w:line="960" w:lineRule="exact"/>
        <w:jc w:val="center"/>
        <w:outlineLvl w:val="0"/>
        <w:rPr>
          <w:rFonts w:cs="Times New Roman"/>
          <w:sz w:val="52"/>
          <w:szCs w:val="52"/>
        </w:rPr>
      </w:pPr>
      <w:r>
        <w:rPr>
          <w:sz w:val="52"/>
          <w:szCs w:val="52"/>
        </w:rPr>
        <w:t>2020</w:t>
      </w:r>
      <w:r>
        <w:rPr>
          <w:rFonts w:hint="eastAsia"/>
          <w:sz w:val="52"/>
          <w:szCs w:val="52"/>
        </w:rPr>
        <w:t>年度</w:t>
      </w:r>
    </w:p>
    <w:p>
      <w:pPr>
        <w:pStyle w:val="10"/>
        <w:spacing w:line="960" w:lineRule="exact"/>
        <w:jc w:val="center"/>
        <w:outlineLvl w:val="0"/>
        <w:rPr>
          <w:rFonts w:cs="Times New Roman"/>
          <w:sz w:val="52"/>
          <w:szCs w:val="52"/>
        </w:rPr>
      </w:pPr>
      <w:r>
        <w:rPr>
          <w:rFonts w:hint="eastAsia"/>
          <w:sz w:val="52"/>
          <w:szCs w:val="52"/>
        </w:rPr>
        <w:t>湖南省质量技术监督局信息中心部门决算</w:t>
      </w:r>
    </w:p>
    <w:p>
      <w:pPr>
        <w:pStyle w:val="10"/>
        <w:spacing w:line="500" w:lineRule="exact"/>
        <w:jc w:val="center"/>
        <w:outlineLvl w:val="1"/>
        <w:rPr>
          <w:rFonts w:cs="Times New Roman"/>
          <w:b/>
          <w:bCs/>
          <w:sz w:val="36"/>
          <w:szCs w:val="36"/>
        </w:rPr>
      </w:pPr>
      <w:r>
        <w:rPr>
          <w:rFonts w:cs="Times New Roman"/>
          <w:sz w:val="56"/>
          <w:szCs w:val="56"/>
        </w:rPr>
        <w:br w:type="page"/>
      </w:r>
      <w:r>
        <w:rPr>
          <w:rFonts w:hint="eastAsia"/>
          <w:b/>
          <w:bCs/>
          <w:sz w:val="36"/>
          <w:szCs w:val="36"/>
        </w:rPr>
        <w:t>目录</w:t>
      </w:r>
    </w:p>
    <w:p>
      <w:pPr>
        <w:pStyle w:val="10"/>
        <w:spacing w:line="500" w:lineRule="exact"/>
        <w:outlineLvl w:val="0"/>
        <w:rPr>
          <w:rFonts w:ascii="仿宋_GB2312" w:eastAsia="仿宋_GB2312" w:cs="Times New Roman"/>
          <w:b/>
          <w:bCs/>
          <w:sz w:val="28"/>
          <w:szCs w:val="28"/>
        </w:rPr>
      </w:pPr>
      <w:r>
        <w:rPr>
          <w:rFonts w:hint="eastAsia"/>
          <w:b/>
          <w:bCs/>
          <w:sz w:val="28"/>
          <w:szCs w:val="28"/>
        </w:rPr>
        <w:t>第一部分湖南省质量技术监督局信息中心概况</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一、部门职责</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二、机构设置</w:t>
      </w:r>
    </w:p>
    <w:p>
      <w:pPr>
        <w:pStyle w:val="10"/>
        <w:spacing w:line="500" w:lineRule="exact"/>
        <w:outlineLvl w:val="0"/>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2020</w:t>
      </w:r>
      <w:r>
        <w:rPr>
          <w:rFonts w:hint="eastAsia" w:hAnsi="仿宋_GB2312"/>
          <w:b/>
          <w:bCs/>
          <w:sz w:val="28"/>
          <w:szCs w:val="28"/>
        </w:rPr>
        <w:t>年度部门决算表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一、收入支出决算总表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二、收入决算表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三、支出决算表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四、财政拨款收入支出决算总表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五、一般公共预算财政拨款支出决算表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六、一般公共预算财政拨款基本支出决算表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七、一般公共预算财政拨款“三公”经费支出决算表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八、政府性基金预算财政拨款收入支出决算表</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九、国有资本经营预算财政拨款支出决算表</w:t>
      </w:r>
    </w:p>
    <w:p>
      <w:pPr>
        <w:pStyle w:val="10"/>
        <w:spacing w:line="500" w:lineRule="exact"/>
        <w:outlineLvl w:val="0"/>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2020</w:t>
      </w:r>
      <w:r>
        <w:rPr>
          <w:rFonts w:hint="eastAsia" w:hAnsi="仿宋_GB2312"/>
          <w:b/>
          <w:bCs/>
          <w:sz w:val="28"/>
          <w:szCs w:val="28"/>
        </w:rPr>
        <w:t>年度部门决算情况说明</w:t>
      </w:r>
    </w:p>
    <w:p>
      <w:pPr>
        <w:pStyle w:val="10"/>
        <w:spacing w:line="500" w:lineRule="exact"/>
        <w:ind w:firstLine="700" w:firstLineChars="250"/>
        <w:outlineLvl w:val="1"/>
        <w:rPr>
          <w:rFonts w:ascii="宋体" w:hAnsi="宋体" w:eastAsia="宋体" w:cs="Times New Roman"/>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outlineLvl w:val="1"/>
        <w:rPr>
          <w:rFonts w:ascii="仿宋_GB2312" w:eastAsia="仿宋_GB2312" w:cs="Times New Roman"/>
          <w:sz w:val="28"/>
          <w:szCs w:val="28"/>
        </w:rPr>
      </w:pPr>
      <w:r>
        <w:rPr>
          <w:rFonts w:hint="eastAsia" w:ascii="仿宋_GB2312" w:hAnsi="仿宋_GB2312" w:cs="宋体"/>
          <w:sz w:val="28"/>
          <w:szCs w:val="28"/>
        </w:rPr>
        <w:t>二、收入决算情况说明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三、支出决算情况说明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九、关于机关运行经费支出说明</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十、一般性支出情况</w:t>
      </w:r>
    </w:p>
    <w:p>
      <w:pPr>
        <w:autoSpaceDE w:val="0"/>
        <w:autoSpaceDN w:val="0"/>
        <w:adjustRightInd w:val="0"/>
        <w:spacing w:line="500" w:lineRule="exact"/>
        <w:ind w:firstLine="700" w:firstLineChars="250"/>
        <w:jc w:val="left"/>
        <w:outlineLvl w:val="1"/>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十一、关于政府采购支出说明</w:t>
      </w:r>
    </w:p>
    <w:p>
      <w:pPr>
        <w:pStyle w:val="10"/>
        <w:spacing w:line="500" w:lineRule="exact"/>
        <w:ind w:firstLine="700" w:firstLineChars="250"/>
        <w:outlineLvl w:val="1"/>
        <w:rPr>
          <w:rFonts w:ascii="仿宋_GB2312" w:hAnsi="仿宋_GB2312" w:eastAsia="宋体" w:cs="Times New Roman"/>
          <w:sz w:val="28"/>
          <w:szCs w:val="28"/>
        </w:rPr>
      </w:pPr>
      <w:r>
        <w:rPr>
          <w:rFonts w:hint="eastAsia" w:ascii="仿宋_GB2312" w:hAnsi="仿宋_GB2312" w:eastAsia="宋体" w:cs="宋体"/>
          <w:sz w:val="28"/>
          <w:szCs w:val="28"/>
        </w:rPr>
        <w:t>十二、关于国有资产占用情况说明</w:t>
      </w:r>
    </w:p>
    <w:p>
      <w:pPr>
        <w:pStyle w:val="10"/>
        <w:spacing w:line="500" w:lineRule="exact"/>
        <w:ind w:firstLine="700" w:firstLineChars="250"/>
        <w:outlineLvl w:val="1"/>
        <w:rPr>
          <w:rFonts w:hint="eastAsia" w:ascii="仿宋_GB2312" w:hAnsi="仿宋_GB2312" w:eastAsia="宋体" w:cs="宋体"/>
          <w:sz w:val="28"/>
          <w:szCs w:val="28"/>
        </w:rPr>
      </w:pPr>
      <w:r>
        <w:rPr>
          <w:rFonts w:hint="eastAsia" w:ascii="仿宋_GB2312" w:hAnsi="仿宋_GB2312" w:eastAsia="宋体" w:cs="宋体"/>
          <w:sz w:val="28"/>
          <w:szCs w:val="28"/>
        </w:rPr>
        <w:t>十三、关</w:t>
      </w:r>
      <w:r>
        <w:rPr>
          <w:rFonts w:hint="eastAsia" w:ascii="宋体" w:hAnsi="宋体" w:eastAsia="宋体" w:cs="宋体"/>
          <w:sz w:val="28"/>
          <w:szCs w:val="28"/>
        </w:rPr>
        <w:t>于</w:t>
      </w:r>
      <w:r>
        <w:rPr>
          <w:rFonts w:ascii="宋体" w:hAnsi="宋体" w:eastAsia="宋体" w:cs="宋体"/>
          <w:sz w:val="28"/>
          <w:szCs w:val="28"/>
        </w:rPr>
        <w:t>2020</w:t>
      </w:r>
      <w:r>
        <w:rPr>
          <w:rFonts w:hint="eastAsia" w:ascii="宋体" w:hAnsi="宋体" w:eastAsia="宋体" w:cs="宋体"/>
          <w:sz w:val="28"/>
          <w:szCs w:val="28"/>
        </w:rPr>
        <w:t>年</w:t>
      </w:r>
      <w:r>
        <w:rPr>
          <w:rFonts w:hint="eastAsia" w:ascii="仿宋_GB2312" w:hAnsi="仿宋_GB2312" w:eastAsia="宋体" w:cs="宋体"/>
          <w:sz w:val="28"/>
          <w:szCs w:val="28"/>
        </w:rPr>
        <w:t>度预算绩效情况的说明</w:t>
      </w:r>
    </w:p>
    <w:p>
      <w:pPr>
        <w:pStyle w:val="10"/>
        <w:spacing w:line="500" w:lineRule="exact"/>
        <w:ind w:firstLine="702" w:firstLineChars="250"/>
        <w:outlineLvl w:val="1"/>
        <w:rPr>
          <w:rFonts w:hint="eastAsia" w:ascii="仿宋_GB2312" w:hAnsi="仿宋_GB2312" w:eastAsia="黑体" w:cs="宋体"/>
          <w:sz w:val="28"/>
          <w:szCs w:val="28"/>
          <w:lang w:val="en-US" w:eastAsia="zh-CN"/>
        </w:rPr>
      </w:pPr>
      <w:r>
        <w:rPr>
          <w:rFonts w:hint="eastAsia" w:hAnsi="仿宋_GB2312"/>
          <w:b/>
          <w:bCs/>
          <w:sz w:val="28"/>
          <w:szCs w:val="28"/>
        </w:rPr>
        <w:t>第</w:t>
      </w:r>
      <w:r>
        <w:rPr>
          <w:rFonts w:hint="eastAsia" w:hAnsi="仿宋_GB2312"/>
          <w:b/>
          <w:bCs/>
          <w:sz w:val="28"/>
          <w:szCs w:val="28"/>
          <w:lang w:eastAsia="zh-CN"/>
        </w:rPr>
        <w:t>四</w:t>
      </w:r>
      <w:r>
        <w:rPr>
          <w:rFonts w:hint="eastAsia" w:hAnsi="仿宋_GB2312"/>
          <w:b/>
          <w:bCs/>
          <w:sz w:val="28"/>
          <w:szCs w:val="28"/>
        </w:rPr>
        <w:t>部分</w:t>
      </w:r>
      <w:r>
        <w:rPr>
          <w:rFonts w:hint="eastAsia" w:hAnsi="仿宋_GB2312"/>
          <w:b/>
          <w:bCs/>
          <w:sz w:val="28"/>
          <w:szCs w:val="28"/>
          <w:lang w:eastAsia="zh-CN"/>
        </w:rPr>
        <w:t>名词解释</w:t>
      </w:r>
    </w:p>
    <w:p>
      <w:pPr>
        <w:pStyle w:val="10"/>
        <w:spacing w:line="500" w:lineRule="exact"/>
        <w:ind w:firstLine="700" w:firstLineChars="250"/>
        <w:outlineLvl w:val="1"/>
        <w:rPr>
          <w:rFonts w:hint="eastAsia" w:ascii="仿宋_GB2312" w:hAnsi="仿宋_GB2312" w:eastAsia="宋体" w:cs="宋体"/>
          <w:sz w:val="28"/>
          <w:szCs w:val="28"/>
        </w:rPr>
      </w:pPr>
    </w:p>
    <w:p>
      <w:pPr>
        <w:jc w:val="center"/>
        <w:rPr>
          <w:rFonts w:cs="Times New Roman"/>
          <w:sz w:val="72"/>
          <w:szCs w:val="72"/>
        </w:rPr>
      </w:pPr>
      <w:r>
        <w:rPr>
          <w:rFonts w:ascii="黑体" w:hAnsi="黑体" w:eastAsia="黑体" w:cs="Times New Roman"/>
          <w:b/>
          <w:bCs/>
          <w:color w:val="000000"/>
          <w:kern w:val="0"/>
          <w:sz w:val="28"/>
          <w:szCs w:val="28"/>
        </w:rPr>
        <w:br w:type="page"/>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0"/>
        <w:jc w:val="center"/>
        <w:rPr>
          <w:rFonts w:cs="Times New Roman"/>
          <w:sz w:val="52"/>
          <w:szCs w:val="52"/>
        </w:rPr>
      </w:pPr>
    </w:p>
    <w:p>
      <w:pPr>
        <w:pStyle w:val="10"/>
        <w:jc w:val="center"/>
        <w:rPr>
          <w:rFonts w:cs="Times New Roman"/>
          <w:sz w:val="52"/>
          <w:szCs w:val="52"/>
        </w:rPr>
      </w:pPr>
      <w:r>
        <w:rPr>
          <w:rFonts w:hint="eastAsia"/>
          <w:sz w:val="52"/>
          <w:szCs w:val="52"/>
        </w:rPr>
        <w:t>第一部分</w:t>
      </w:r>
    </w:p>
    <w:p>
      <w:pPr>
        <w:pStyle w:val="10"/>
        <w:jc w:val="center"/>
        <w:outlineLvl w:val="0"/>
        <w:rPr>
          <w:rFonts w:cs="Times New Roman"/>
          <w:sz w:val="52"/>
          <w:szCs w:val="52"/>
        </w:rPr>
      </w:pPr>
      <w:r>
        <w:rPr>
          <w:rFonts w:hint="eastAsia"/>
          <w:sz w:val="52"/>
          <w:szCs w:val="52"/>
        </w:rPr>
        <w:t>湖南省质量技术监督局信息中心概况</w:t>
      </w:r>
    </w:p>
    <w:p>
      <w:pPr>
        <w:jc w:val="center"/>
        <w:rPr>
          <w:rFonts w:cs="Times New Roman"/>
          <w:sz w:val="72"/>
          <w:szCs w:val="72"/>
        </w:rPr>
      </w:pPr>
    </w:p>
    <w:p>
      <w:pPr>
        <w:pStyle w:val="11"/>
        <w:ind w:left="720" w:firstLine="0" w:firstLineChars="0"/>
        <w:jc w:val="left"/>
        <w:rPr>
          <w:rFonts w:ascii="黑体" w:hAnsi="黑体" w:eastAsia="黑体" w:cs="Times New Roman"/>
          <w:sz w:val="32"/>
          <w:szCs w:val="32"/>
        </w:rPr>
      </w:pPr>
      <w:r>
        <w:rPr>
          <w:rFonts w:cs="Times New Roman"/>
          <w:sz w:val="72"/>
          <w:szCs w:val="72"/>
        </w:rPr>
        <w:br w:type="page"/>
      </w:r>
    </w:p>
    <w:p>
      <w:pPr>
        <w:pStyle w:val="11"/>
        <w:numPr>
          <w:ilvl w:val="0"/>
          <w:numId w:val="1"/>
        </w:numPr>
        <w:ind w:firstLineChars="0"/>
        <w:jc w:val="left"/>
        <w:outlineLvl w:val="0"/>
        <w:rPr>
          <w:rFonts w:ascii="黑体" w:hAnsi="黑体" w:eastAsia="黑体" w:cs="Times New Roman"/>
          <w:b/>
          <w:bCs/>
          <w:sz w:val="32"/>
          <w:szCs w:val="32"/>
        </w:rPr>
      </w:pPr>
      <w:r>
        <w:rPr>
          <w:rFonts w:hint="eastAsia" w:ascii="黑体" w:hAnsi="黑体" w:eastAsia="黑体" w:cs="黑体"/>
          <w:b/>
          <w:bCs/>
          <w:sz w:val="32"/>
          <w:szCs w:val="32"/>
        </w:rPr>
        <w:t>部门职责</w:t>
      </w:r>
    </w:p>
    <w:p>
      <w:pPr>
        <w:widowControl/>
        <w:spacing w:line="600" w:lineRule="exact"/>
        <w:ind w:firstLine="640" w:firstLineChars="200"/>
        <w:outlineLvl w:val="0"/>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为全省市场监督管理系统提供基础信息服务和技撑；建设、管理和维护省市场监督管理局中心数据机房、门户网站、视频会议系统；做好市监系统信息化中长期规划和重大信息化项目建设；做好信息安全保障和培训。</w:t>
      </w:r>
    </w:p>
    <w:p>
      <w:pPr>
        <w:widowControl/>
        <w:spacing w:line="600" w:lineRule="exact"/>
        <w:outlineLvl w:val="0"/>
        <w:rPr>
          <w:rFonts w:ascii="黑体" w:hAnsi="黑体" w:eastAsia="黑体" w:cs="Times New Roman"/>
          <w:b/>
          <w:bCs/>
          <w:kern w:val="0"/>
          <w:sz w:val="32"/>
          <w:szCs w:val="32"/>
        </w:rPr>
      </w:pPr>
      <w:r>
        <w:rPr>
          <w:rFonts w:hint="eastAsia" w:ascii="黑体" w:hAnsi="黑体" w:eastAsia="黑体" w:cs="黑体"/>
          <w:b/>
          <w:bCs/>
          <w:kern w:val="0"/>
          <w:sz w:val="32"/>
          <w:szCs w:val="32"/>
        </w:rPr>
        <w:t>二、机构设置及决算单位构成</w:t>
      </w:r>
    </w:p>
    <w:p>
      <w:pPr>
        <w:pStyle w:val="5"/>
        <w:shd w:val="clear" w:color="auto" w:fill="FFFFFF"/>
        <w:adjustRightInd w:val="0"/>
        <w:snapToGrid w:val="0"/>
        <w:spacing w:before="0" w:beforeAutospacing="0" w:after="0" w:afterAutospacing="0" w:line="580" w:lineRule="exact"/>
        <w:ind w:firstLine="640" w:firstLineChars="200"/>
        <w:jc w:val="both"/>
        <w:rPr>
          <w:rFonts w:cs="Times New Roman"/>
          <w:color w:val="000000"/>
          <w:sz w:val="32"/>
          <w:szCs w:val="32"/>
        </w:rPr>
      </w:pPr>
      <w:r>
        <w:rPr>
          <w:color w:val="000000"/>
          <w:sz w:val="32"/>
          <w:szCs w:val="32"/>
        </w:rPr>
        <w:t>(</w:t>
      </w:r>
      <w:r>
        <w:rPr>
          <w:rFonts w:hint="eastAsia"/>
          <w:color w:val="000000"/>
          <w:sz w:val="32"/>
          <w:szCs w:val="32"/>
        </w:rPr>
        <w:t>一</w:t>
      </w:r>
      <w:r>
        <w:rPr>
          <w:color w:val="000000"/>
          <w:sz w:val="32"/>
          <w:szCs w:val="32"/>
        </w:rPr>
        <w:t>)</w:t>
      </w:r>
      <w:r>
        <w:rPr>
          <w:rFonts w:hint="eastAsia"/>
          <w:color w:val="000000"/>
          <w:sz w:val="32"/>
          <w:szCs w:val="32"/>
        </w:rPr>
        <w:t>内设机构设置。根据省委编办核定，在湖南省工商行政管理局经济信息中心、湖南省质量技术监督局信息中心基础上，整合湖南省企业信息管理局、湖南省工商行政管理局宣传中心、湖南省质量和标准化研究院法人数据平台职能，组建湖南省法人大数据运维中心。由于事业单位改革还没有到位，原省质监局信息中心机构、人员编制保持不变。原省质监局信息中心成立于</w:t>
      </w:r>
      <w:r>
        <w:rPr>
          <w:color w:val="000000"/>
          <w:sz w:val="32"/>
          <w:szCs w:val="32"/>
        </w:rPr>
        <w:t>2008</w:t>
      </w:r>
      <w:r>
        <w:rPr>
          <w:rFonts w:hint="eastAsia"/>
          <w:color w:val="000000"/>
          <w:sz w:val="32"/>
          <w:szCs w:val="32"/>
        </w:rPr>
        <w:t>年，是公益一类事业单位，单位编制数</w:t>
      </w:r>
      <w:r>
        <w:rPr>
          <w:color w:val="000000"/>
          <w:sz w:val="32"/>
          <w:szCs w:val="32"/>
        </w:rPr>
        <w:t>9</w:t>
      </w:r>
      <w:r>
        <w:rPr>
          <w:rFonts w:hint="eastAsia"/>
          <w:color w:val="000000"/>
          <w:sz w:val="32"/>
          <w:szCs w:val="32"/>
        </w:rPr>
        <w:t>名，领导职数一正两副。目前在编在岗</w:t>
      </w:r>
      <w:r>
        <w:rPr>
          <w:color w:val="000000"/>
          <w:sz w:val="32"/>
          <w:szCs w:val="32"/>
        </w:rPr>
        <w:t>6</w:t>
      </w:r>
      <w:r>
        <w:rPr>
          <w:rFonts w:hint="eastAsia"/>
          <w:color w:val="000000"/>
          <w:sz w:val="32"/>
          <w:szCs w:val="32"/>
        </w:rPr>
        <w:t>人（</w:t>
      </w:r>
      <w:r>
        <w:rPr>
          <w:color w:val="000000"/>
          <w:sz w:val="32"/>
          <w:szCs w:val="32"/>
        </w:rPr>
        <w:t>2020</w:t>
      </w:r>
      <w:r>
        <w:rPr>
          <w:rFonts w:hint="eastAsia"/>
          <w:color w:val="000000"/>
          <w:sz w:val="32"/>
          <w:szCs w:val="32"/>
        </w:rPr>
        <w:t>年调出人员</w:t>
      </w:r>
      <w:r>
        <w:rPr>
          <w:color w:val="000000"/>
          <w:sz w:val="32"/>
          <w:szCs w:val="32"/>
        </w:rPr>
        <w:t>2</w:t>
      </w:r>
      <w:r>
        <w:rPr>
          <w:rFonts w:hint="eastAsia"/>
          <w:color w:val="000000"/>
          <w:sz w:val="32"/>
          <w:szCs w:val="32"/>
        </w:rPr>
        <w:t>名），均为本科以上学历，其中，已获得硕士学位</w:t>
      </w:r>
      <w:r>
        <w:rPr>
          <w:color w:val="000000"/>
          <w:sz w:val="32"/>
          <w:szCs w:val="32"/>
        </w:rPr>
        <w:t>1</w:t>
      </w:r>
      <w:r>
        <w:rPr>
          <w:rFonts w:hint="eastAsia"/>
          <w:color w:val="000000"/>
          <w:sz w:val="32"/>
          <w:szCs w:val="32"/>
        </w:rPr>
        <w:t>人，在读硕士研究生</w:t>
      </w:r>
      <w:r>
        <w:rPr>
          <w:color w:val="000000"/>
          <w:sz w:val="32"/>
          <w:szCs w:val="32"/>
        </w:rPr>
        <w:t>1</w:t>
      </w:r>
      <w:r>
        <w:rPr>
          <w:rFonts w:hint="eastAsia"/>
          <w:color w:val="000000"/>
          <w:sz w:val="32"/>
          <w:szCs w:val="32"/>
        </w:rPr>
        <w:t>人，获得副高以上职称</w:t>
      </w:r>
      <w:r>
        <w:rPr>
          <w:color w:val="000000"/>
          <w:sz w:val="32"/>
          <w:szCs w:val="32"/>
        </w:rPr>
        <w:t>2</w:t>
      </w:r>
      <w:r>
        <w:rPr>
          <w:rFonts w:hint="eastAsia"/>
          <w:color w:val="000000"/>
          <w:sz w:val="32"/>
          <w:szCs w:val="32"/>
        </w:rPr>
        <w:t>人；中心内设</w:t>
      </w:r>
      <w:r>
        <w:rPr>
          <w:color w:val="000000"/>
          <w:sz w:val="32"/>
          <w:szCs w:val="32"/>
        </w:rPr>
        <w:t>3</w:t>
      </w:r>
      <w:r>
        <w:rPr>
          <w:rFonts w:hint="eastAsia"/>
          <w:color w:val="000000"/>
          <w:sz w:val="32"/>
          <w:szCs w:val="32"/>
        </w:rPr>
        <w:t>个科室（综合科、应用科、网络科）。</w:t>
      </w:r>
    </w:p>
    <w:p>
      <w:pPr>
        <w:pStyle w:val="5"/>
        <w:shd w:val="clear" w:color="auto" w:fill="FFFFFF"/>
        <w:adjustRightInd w:val="0"/>
        <w:snapToGrid w:val="0"/>
        <w:spacing w:before="0" w:beforeAutospacing="0" w:after="0" w:afterAutospacing="0" w:line="580" w:lineRule="exact"/>
        <w:ind w:firstLine="640" w:firstLineChars="200"/>
        <w:jc w:val="both"/>
        <w:rPr>
          <w:rFonts w:cs="Times New Roman"/>
          <w:color w:val="000000"/>
          <w:sz w:val="32"/>
          <w:szCs w:val="32"/>
        </w:rPr>
      </w:pPr>
      <w:r>
        <w:rPr>
          <w:rFonts w:hint="eastAsia"/>
          <w:sz w:val="32"/>
          <w:szCs w:val="32"/>
        </w:rPr>
        <w:t>（二）决算单位构成。湖南省质量技术监督局信息中心是独立核算的事业单位，</w:t>
      </w:r>
      <w:r>
        <w:rPr>
          <w:sz w:val="32"/>
          <w:szCs w:val="32"/>
        </w:rPr>
        <w:t>2020</w:t>
      </w:r>
      <w:r>
        <w:rPr>
          <w:rFonts w:hint="eastAsia"/>
          <w:sz w:val="32"/>
          <w:szCs w:val="32"/>
        </w:rPr>
        <w:t>年部门决算公开仅由本单位构成。</w:t>
      </w: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0"/>
        <w:jc w:val="center"/>
        <w:rPr>
          <w:rFonts w:cs="Times New Roman"/>
          <w:sz w:val="52"/>
          <w:szCs w:val="52"/>
        </w:rPr>
      </w:pPr>
    </w:p>
    <w:p>
      <w:pPr>
        <w:pStyle w:val="10"/>
        <w:jc w:val="center"/>
        <w:rPr>
          <w:rFonts w:cs="Times New Roman"/>
          <w:sz w:val="52"/>
          <w:szCs w:val="52"/>
        </w:rPr>
      </w:pPr>
      <w:r>
        <w:rPr>
          <w:rFonts w:hint="eastAsia"/>
          <w:sz w:val="52"/>
          <w:szCs w:val="52"/>
        </w:rPr>
        <w:t>第二部分</w:t>
      </w:r>
    </w:p>
    <w:p>
      <w:pPr>
        <w:pStyle w:val="10"/>
        <w:jc w:val="center"/>
        <w:outlineLvl w:val="0"/>
        <w:rPr>
          <w:rFonts w:cs="Times New Roman"/>
          <w:sz w:val="52"/>
          <w:szCs w:val="52"/>
        </w:rPr>
      </w:pPr>
      <w:r>
        <w:rPr>
          <w:rFonts w:hint="eastAsia"/>
          <w:sz w:val="52"/>
          <w:szCs w:val="52"/>
        </w:rPr>
        <w:t>部门决算表</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left"/>
        <w:rPr>
          <w:rFonts w:ascii="宋体" w:cs="Times New Roman"/>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106" w:type="dxa"/>
        <w:tblLayout w:type="autofit"/>
        <w:tblCellMar>
          <w:top w:w="0" w:type="dxa"/>
          <w:left w:w="108" w:type="dxa"/>
          <w:bottom w:w="0" w:type="dxa"/>
          <w:right w:w="108" w:type="dxa"/>
        </w:tblCellMar>
      </w:tblPr>
      <w:tblGrid>
        <w:gridCol w:w="4097"/>
        <w:gridCol w:w="447"/>
        <w:gridCol w:w="672"/>
        <w:gridCol w:w="737"/>
        <w:gridCol w:w="232"/>
        <w:gridCol w:w="67"/>
        <w:gridCol w:w="3377"/>
        <w:gridCol w:w="840"/>
        <w:gridCol w:w="1451"/>
        <w:gridCol w:w="654"/>
        <w:gridCol w:w="1507"/>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16"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73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35" w:type="dxa"/>
            <w:gridSpan w:val="4"/>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07"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5216" w:type="dxa"/>
            <w:gridSpan w:val="3"/>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部门：湖南省质量技术监督局信息中心</w:t>
            </w:r>
          </w:p>
        </w:tc>
        <w:tc>
          <w:tcPr>
            <w:tcW w:w="73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35" w:type="dxa"/>
            <w:gridSpan w:val="4"/>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07"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25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7829"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708"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361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708"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61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ascii="宋体" w:hAnsi="宋体" w:cs="宋体"/>
                <w:kern w:val="0"/>
                <w:sz w:val="24"/>
                <w:szCs w:val="24"/>
              </w:rPr>
              <w:t>2</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一、一般公共预算财政拨款收入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276.28</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一、一般公共服务支出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14</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194.41</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二、政府性基金预算财政拨款收入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二、外交支出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15</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三、国有资本经营预算财政拨款收入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3</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三、国防支出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16</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四、上级补助收入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4</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cs="宋体"/>
                <w:kern w:val="0"/>
                <w:sz w:val="22"/>
                <w:szCs w:val="22"/>
              </w:rPr>
              <w:t>0.00</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四、公共安全支出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17</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五、事业收入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5</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cs="宋体"/>
                <w:kern w:val="0"/>
                <w:sz w:val="22"/>
                <w:szCs w:val="22"/>
              </w:rPr>
              <w:t>0.00</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五、教育支出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18</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2.06</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六、经营收入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6</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cs="宋体"/>
                <w:kern w:val="0"/>
                <w:sz w:val="22"/>
                <w:szCs w:val="22"/>
              </w:rPr>
              <w:t>0.00</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六、科学技术支出</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19</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七、附属单位上缴收入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7</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cs="宋体"/>
                <w:kern w:val="0"/>
                <w:sz w:val="22"/>
                <w:szCs w:val="22"/>
              </w:rPr>
              <w:t>0.00</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20</w:t>
            </w:r>
          </w:p>
        </w:tc>
        <w:tc>
          <w:tcPr>
            <w:tcW w:w="3612" w:type="dxa"/>
            <w:gridSpan w:val="3"/>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八、其他收入</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8</w:t>
            </w:r>
          </w:p>
        </w:tc>
        <w:tc>
          <w:tcPr>
            <w:tcW w:w="1708" w:type="dxa"/>
            <w:gridSpan w:val="4"/>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21</w:t>
            </w:r>
          </w:p>
        </w:tc>
        <w:tc>
          <w:tcPr>
            <w:tcW w:w="3612" w:type="dxa"/>
            <w:gridSpan w:val="3"/>
            <w:tcBorders>
              <w:top w:val="nil"/>
              <w:left w:val="nil"/>
              <w:bottom w:val="single" w:color="auto" w:sz="4" w:space="0"/>
              <w:right w:val="single" w:color="auto" w:sz="4" w:space="0"/>
            </w:tcBorders>
            <w:noWrap/>
            <w:vAlign w:val="center"/>
          </w:tcPr>
          <w:p>
            <w:pPr>
              <w:widowControl/>
              <w:jc w:val="center"/>
              <w:rPr>
                <w:rFonts w:ascii="宋体" w:cs="Times New Roman"/>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9</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22</w:t>
            </w:r>
          </w:p>
        </w:tc>
        <w:tc>
          <w:tcPr>
            <w:tcW w:w="3612" w:type="dxa"/>
            <w:gridSpan w:val="3"/>
            <w:tcBorders>
              <w:top w:val="nil"/>
              <w:left w:val="nil"/>
              <w:bottom w:val="single" w:color="auto" w:sz="4" w:space="0"/>
              <w:right w:val="single" w:color="auto" w:sz="4" w:space="0"/>
            </w:tcBorders>
            <w:noWrap/>
            <w:vAlign w:val="center"/>
          </w:tcPr>
          <w:p>
            <w:pPr>
              <w:widowControl/>
              <w:jc w:val="left"/>
              <w:rPr>
                <w:rFonts w:ascii="宋体" w:cs="Times New Roman"/>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本年收入合计</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10</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276.28</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本年支出合计</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23</w:t>
            </w:r>
          </w:p>
        </w:tc>
        <w:tc>
          <w:tcPr>
            <w:tcW w:w="3612"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r>
              <w:rPr>
                <w:rFonts w:ascii="宋体" w:hAnsi="宋体" w:cs="宋体"/>
                <w:kern w:val="0"/>
                <w:sz w:val="22"/>
                <w:szCs w:val="22"/>
              </w:rPr>
              <w:t xml:space="preserve">                      229.45</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使用非财政拨款结余</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11</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cs="宋体"/>
                <w:kern w:val="0"/>
                <w:sz w:val="22"/>
                <w:szCs w:val="22"/>
              </w:rPr>
              <w:t>0.00</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结余分配</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24</w:t>
            </w:r>
          </w:p>
        </w:tc>
        <w:tc>
          <w:tcPr>
            <w:tcW w:w="3612"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r>
              <w:rPr>
                <w:rFonts w:ascii="宋体" w:hAnsi="宋体" w:cs="宋体"/>
                <w:kern w:val="0"/>
                <w:sz w:val="22"/>
                <w:szCs w:val="22"/>
              </w:rPr>
              <w:t xml:space="preserve">                        0.00</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年初结转和结余</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12</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5.69</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年末结转和结余</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25</w:t>
            </w:r>
          </w:p>
        </w:tc>
        <w:tc>
          <w:tcPr>
            <w:tcW w:w="3612" w:type="dxa"/>
            <w:gridSpan w:val="3"/>
            <w:tcBorders>
              <w:top w:val="nil"/>
              <w:left w:val="nil"/>
              <w:bottom w:val="single" w:color="auto" w:sz="4" w:space="0"/>
              <w:right w:val="single" w:color="auto" w:sz="4" w:space="0"/>
            </w:tcBorders>
            <w:noWrap/>
            <w:vAlign w:val="center"/>
          </w:tcPr>
          <w:p>
            <w:pPr>
              <w:widowControl/>
              <w:jc w:val="left"/>
              <w:rPr>
                <w:rFonts w:ascii="宋体" w:cs="Times New Roman"/>
                <w:kern w:val="0"/>
                <w:sz w:val="22"/>
                <w:szCs w:val="22"/>
              </w:rPr>
            </w:pPr>
            <w:r>
              <w:rPr>
                <w:rFonts w:hint="eastAsia" w:ascii="宋体" w:hAnsi="宋体" w:cs="宋体"/>
                <w:kern w:val="0"/>
                <w:sz w:val="22"/>
                <w:szCs w:val="22"/>
              </w:rPr>
              <w:t>　</w:t>
            </w:r>
            <w:r>
              <w:rPr>
                <w:rFonts w:ascii="宋体" w:hAnsi="宋体" w:cs="宋体"/>
                <w:kern w:val="0"/>
                <w:sz w:val="22"/>
                <w:szCs w:val="22"/>
              </w:rPr>
              <w:t xml:space="preserve">                       52.53</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总计</w:t>
            </w:r>
          </w:p>
        </w:tc>
        <w:tc>
          <w:tcPr>
            <w:tcW w:w="44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13</w:t>
            </w:r>
          </w:p>
        </w:tc>
        <w:tc>
          <w:tcPr>
            <w:tcW w:w="1708" w:type="dxa"/>
            <w:gridSpan w:val="4"/>
            <w:tcBorders>
              <w:top w:val="nil"/>
              <w:left w:val="nil"/>
              <w:bottom w:val="single" w:color="auto" w:sz="4" w:space="0"/>
              <w:right w:val="single" w:color="auto" w:sz="4" w:space="0"/>
            </w:tcBorders>
            <w:noWrap/>
            <w:vAlign w:val="center"/>
          </w:tcPr>
          <w:p>
            <w:pPr>
              <w:widowControl/>
              <w:jc w:val="right"/>
              <w:rPr>
                <w:rFonts w:ascii="宋体" w:cs="Times New Roman"/>
                <w:kern w:val="0"/>
                <w:sz w:val="22"/>
                <w:szCs w:val="22"/>
              </w:rPr>
            </w:pPr>
            <w:r>
              <w:rPr>
                <w:rFonts w:ascii="宋体" w:hAnsi="宋体" w:cs="宋体"/>
                <w:kern w:val="0"/>
                <w:sz w:val="22"/>
                <w:szCs w:val="22"/>
              </w:rPr>
              <w:t>281.97</w:t>
            </w:r>
            <w:r>
              <w:rPr>
                <w:rFonts w:hint="eastAsia" w:ascii="宋体" w:hAnsi="宋体" w:cs="宋体"/>
                <w:kern w:val="0"/>
                <w:sz w:val="22"/>
                <w:szCs w:val="22"/>
              </w:rPr>
              <w:t>　</w:t>
            </w:r>
          </w:p>
        </w:tc>
        <w:tc>
          <w:tcPr>
            <w:tcW w:w="337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总计</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2"/>
                <w:szCs w:val="22"/>
              </w:rPr>
            </w:pPr>
            <w:r>
              <w:rPr>
                <w:rFonts w:ascii="宋体" w:hAnsi="宋体" w:cs="宋体"/>
                <w:kern w:val="0"/>
                <w:sz w:val="22"/>
                <w:szCs w:val="22"/>
              </w:rPr>
              <w:t>26</w:t>
            </w:r>
          </w:p>
        </w:tc>
        <w:tc>
          <w:tcPr>
            <w:tcW w:w="3612" w:type="dxa"/>
            <w:gridSpan w:val="3"/>
            <w:tcBorders>
              <w:top w:val="nil"/>
              <w:left w:val="nil"/>
              <w:bottom w:val="single" w:color="auto" w:sz="4" w:space="0"/>
              <w:right w:val="single" w:color="auto" w:sz="4" w:space="0"/>
            </w:tcBorders>
            <w:noWrap/>
            <w:vAlign w:val="center"/>
          </w:tcPr>
          <w:p>
            <w:pPr>
              <w:widowControl/>
              <w:jc w:val="left"/>
              <w:rPr>
                <w:rFonts w:ascii="宋体" w:cs="Times New Roman"/>
                <w:b/>
                <w:bCs/>
                <w:kern w:val="0"/>
                <w:sz w:val="22"/>
                <w:szCs w:val="22"/>
              </w:rPr>
            </w:pPr>
            <w:r>
              <w:rPr>
                <w:rFonts w:hint="eastAsia" w:ascii="宋体" w:hAnsi="宋体" w:cs="宋体"/>
                <w:b/>
                <w:bCs/>
                <w:kern w:val="0"/>
                <w:sz w:val="22"/>
                <w:szCs w:val="22"/>
              </w:rPr>
              <w:t>　</w:t>
            </w:r>
            <w:r>
              <w:rPr>
                <w:rFonts w:ascii="宋体" w:hAnsi="宋体" w:cs="宋体"/>
                <w:b/>
                <w:bCs/>
                <w:kern w:val="0"/>
                <w:sz w:val="22"/>
                <w:szCs w:val="22"/>
              </w:rPr>
              <w:t xml:space="preserve">                      281.97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r>
              <w:rPr>
                <w:rFonts w:ascii="宋体" w:cs="Times New Roman"/>
                <w:kern w:val="0"/>
                <w:sz w:val="24"/>
                <w:szCs w:val="24"/>
              </w:rPr>
              <w:br w:type="textWrapping"/>
            </w: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bl>
    <w:p>
      <w:pPr>
        <w:jc w:val="center"/>
        <w:rPr>
          <w:rFonts w:ascii="黑体" w:hAnsi="黑体"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5000" w:type="pct"/>
        <w:tblInd w:w="-106" w:type="dxa"/>
        <w:tblLayout w:type="autofit"/>
        <w:tblCellMar>
          <w:top w:w="0" w:type="dxa"/>
          <w:left w:w="108" w:type="dxa"/>
          <w:bottom w:w="0" w:type="dxa"/>
          <w:right w:w="108" w:type="dxa"/>
        </w:tblCellMar>
      </w:tblPr>
      <w:tblGrid>
        <w:gridCol w:w="305"/>
        <w:gridCol w:w="306"/>
        <w:gridCol w:w="306"/>
        <w:gridCol w:w="3616"/>
        <w:gridCol w:w="1521"/>
        <w:gridCol w:w="1718"/>
        <w:gridCol w:w="1521"/>
        <w:gridCol w:w="1521"/>
        <w:gridCol w:w="1521"/>
        <w:gridCol w:w="1521"/>
        <w:gridCol w:w="1758"/>
      </w:tblGrid>
      <w:tr>
        <w:tblPrEx>
          <w:tblCellMar>
            <w:top w:w="0" w:type="dxa"/>
            <w:left w:w="108" w:type="dxa"/>
            <w:bottom w:w="0" w:type="dxa"/>
            <w:right w:w="108" w:type="dxa"/>
          </w:tblCellMar>
        </w:tblPrEx>
        <w:trPr>
          <w:trHeight w:val="375" w:hRule="atLeast"/>
        </w:trPr>
        <w:tc>
          <w:tcPr>
            <w:tcW w:w="5000" w:type="pct"/>
            <w:gridSpan w:val="11"/>
            <w:tcBorders>
              <w:top w:val="nil"/>
              <w:left w:val="nil"/>
              <w:bottom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p>
            <w:pPr>
              <w:widowControl/>
              <w:jc w:val="center"/>
              <w:rPr>
                <w:rFonts w:ascii="黑体" w:hAnsi="黑体" w:eastAsia="黑体" w:cs="Times New Roman"/>
                <w:color w:val="000000"/>
                <w:kern w:val="0"/>
                <w:sz w:val="30"/>
                <w:szCs w:val="30"/>
              </w:rPr>
            </w:pPr>
            <w:r>
              <w:rPr>
                <w:rFonts w:hint="eastAsia" w:ascii="黑体" w:hAnsi="黑体" w:eastAsia="黑体" w:cs="黑体"/>
                <w:color w:val="000000"/>
                <w:kern w:val="0"/>
                <w:sz w:val="30"/>
                <w:szCs w:val="30"/>
              </w:rPr>
              <w:t>收入决算表</w:t>
            </w:r>
          </w:p>
        </w:tc>
      </w:tr>
      <w:tr>
        <w:tblPrEx>
          <w:tblCellMar>
            <w:top w:w="0" w:type="dxa"/>
            <w:left w:w="108" w:type="dxa"/>
            <w:bottom w:w="0" w:type="dxa"/>
            <w:right w:w="108" w:type="dxa"/>
          </w:tblCellMar>
        </w:tblPrEx>
        <w:trPr>
          <w:trHeight w:val="300" w:hRule="atLeast"/>
        </w:trPr>
        <w:tc>
          <w:tcPr>
            <w:tcW w:w="98"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8"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8"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158"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50"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62" w:type="pct"/>
            <w:tcBorders>
              <w:top w:val="nil"/>
              <w:left w:val="nil"/>
              <w:bottom w:val="nil"/>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02</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00" w:hRule="atLeast"/>
        </w:trPr>
        <w:tc>
          <w:tcPr>
            <w:tcW w:w="1452" w:type="pct"/>
            <w:gridSpan w:val="4"/>
            <w:tcBorders>
              <w:top w:val="nil"/>
              <w:left w:val="nil"/>
              <w:bottom w:val="single" w:color="000000" w:sz="4" w:space="0"/>
              <w:right w:val="nil"/>
            </w:tcBorders>
            <w:shd w:val="clear" w:color="000000" w:fill="FFFFFF"/>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部门：湖南省质量技术监督局信息中心</w:t>
            </w:r>
          </w:p>
        </w:tc>
        <w:tc>
          <w:tcPr>
            <w:tcW w:w="487" w:type="pct"/>
            <w:tcBorders>
              <w:top w:val="nil"/>
              <w:left w:val="nil"/>
              <w:bottom w:val="single" w:color="00000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50" w:type="pct"/>
            <w:tcBorders>
              <w:top w:val="nil"/>
              <w:left w:val="nil"/>
              <w:bottom w:val="single" w:color="000000" w:sz="4" w:space="0"/>
              <w:right w:val="nil"/>
            </w:tcBorders>
            <w:shd w:val="clear" w:color="000000" w:fill="FFFFFF"/>
            <w:noWrap/>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2020</w:t>
            </w:r>
            <w:r>
              <w:rPr>
                <w:rFonts w:hint="eastAsia" w:ascii="宋体" w:hAnsi="宋体" w:cs="宋体"/>
                <w:color w:val="000000"/>
                <w:kern w:val="0"/>
                <w:sz w:val="22"/>
                <w:szCs w:val="22"/>
              </w:rPr>
              <w:t>年度</w:t>
            </w:r>
          </w:p>
        </w:tc>
        <w:tc>
          <w:tcPr>
            <w:tcW w:w="487" w:type="pct"/>
            <w:tcBorders>
              <w:top w:val="nil"/>
              <w:left w:val="nil"/>
              <w:bottom w:val="single" w:color="00000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62" w:type="pct"/>
            <w:tcBorders>
              <w:top w:val="nil"/>
              <w:left w:val="nil"/>
              <w:bottom w:val="single" w:color="000000" w:sz="4" w:space="0"/>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00" w:hRule="atLeast"/>
        </w:trPr>
        <w:tc>
          <w:tcPr>
            <w:tcW w:w="1452" w:type="pct"/>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项目</w:t>
            </w:r>
          </w:p>
        </w:tc>
        <w:tc>
          <w:tcPr>
            <w:tcW w:w="487"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本年收入合计</w:t>
            </w:r>
          </w:p>
        </w:tc>
        <w:tc>
          <w:tcPr>
            <w:tcW w:w="550"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财政拨款收入</w:t>
            </w:r>
          </w:p>
        </w:tc>
        <w:tc>
          <w:tcPr>
            <w:tcW w:w="487"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上级补助收入</w:t>
            </w:r>
          </w:p>
        </w:tc>
        <w:tc>
          <w:tcPr>
            <w:tcW w:w="487"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事业收入</w:t>
            </w:r>
          </w:p>
        </w:tc>
        <w:tc>
          <w:tcPr>
            <w:tcW w:w="487"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经营收入</w:t>
            </w:r>
          </w:p>
        </w:tc>
        <w:tc>
          <w:tcPr>
            <w:tcW w:w="487"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附属单位上缴收入</w:t>
            </w:r>
          </w:p>
        </w:tc>
        <w:tc>
          <w:tcPr>
            <w:tcW w:w="562"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其他收入</w:t>
            </w:r>
          </w:p>
        </w:tc>
      </w:tr>
      <w:tr>
        <w:tblPrEx>
          <w:tblCellMar>
            <w:top w:w="0" w:type="dxa"/>
            <w:left w:w="108" w:type="dxa"/>
            <w:bottom w:w="0" w:type="dxa"/>
            <w:right w:w="108" w:type="dxa"/>
          </w:tblCellMar>
        </w:tblPrEx>
        <w:trPr>
          <w:trHeight w:val="312" w:hRule="atLeast"/>
        </w:trPr>
        <w:tc>
          <w:tcPr>
            <w:tcW w:w="294" w:type="pct"/>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功能分类科目编码</w:t>
            </w:r>
          </w:p>
        </w:tc>
        <w:tc>
          <w:tcPr>
            <w:tcW w:w="1158" w:type="pct"/>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50"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62"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12" w:hRule="atLeast"/>
        </w:trPr>
        <w:tc>
          <w:tcPr>
            <w:tcW w:w="294"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1158"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50"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62"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12" w:hRule="atLeast"/>
        </w:trPr>
        <w:tc>
          <w:tcPr>
            <w:tcW w:w="294"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1158"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50"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562"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1452" w:type="pct"/>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栏次</w:t>
            </w:r>
          </w:p>
        </w:tc>
        <w:tc>
          <w:tcPr>
            <w:tcW w:w="48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550"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48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48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48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5</w:t>
            </w:r>
          </w:p>
        </w:tc>
        <w:tc>
          <w:tcPr>
            <w:tcW w:w="48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6</w:t>
            </w:r>
          </w:p>
        </w:tc>
        <w:tc>
          <w:tcPr>
            <w:tcW w:w="562"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7</w:t>
            </w:r>
          </w:p>
        </w:tc>
      </w:tr>
      <w:tr>
        <w:tblPrEx>
          <w:tblCellMar>
            <w:top w:w="0" w:type="dxa"/>
            <w:left w:w="108" w:type="dxa"/>
            <w:bottom w:w="0" w:type="dxa"/>
            <w:right w:w="108" w:type="dxa"/>
          </w:tblCellMar>
        </w:tblPrEx>
        <w:trPr>
          <w:trHeight w:val="300" w:hRule="atLeast"/>
        </w:trPr>
        <w:tc>
          <w:tcPr>
            <w:tcW w:w="1452" w:type="pct"/>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合计</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276.28</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276.28</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一般公共服务支出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231.70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231.70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20138</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市场监督管理事务</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231.70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231.70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2013850</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事业运行</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231.70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231.70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教育支出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5.00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5.00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20508</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进修及培训</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5.00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5.00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2050803</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5.00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社会保障和就业支出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19.38</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19.38</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20805</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行政事业单位养老支出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19.38</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19.38</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2080505</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19.38</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19.38</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住房保障支出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20.20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20.20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22102</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住房改革支出</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20.20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20.20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2210201</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14.70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14.70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2210203</w:t>
            </w:r>
          </w:p>
        </w:tc>
        <w:tc>
          <w:tcPr>
            <w:tcW w:w="1158"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购房补贴</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5.50</w:t>
            </w:r>
          </w:p>
        </w:tc>
        <w:tc>
          <w:tcPr>
            <w:tcW w:w="55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5.50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8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62"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注：本表反映部门本年度取得的各项收入情况。</w:t>
            </w: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tbl>
      <w:tblPr>
        <w:tblStyle w:val="6"/>
        <w:tblW w:w="15740" w:type="dxa"/>
        <w:tblInd w:w="-106" w:type="dxa"/>
        <w:tblLayout w:type="autofit"/>
        <w:tblCellMar>
          <w:top w:w="0" w:type="dxa"/>
          <w:left w:w="108" w:type="dxa"/>
          <w:bottom w:w="0" w:type="dxa"/>
          <w:right w:w="108" w:type="dxa"/>
        </w:tblCellMar>
      </w:tblPr>
      <w:tblGrid>
        <w:gridCol w:w="340"/>
        <w:gridCol w:w="340"/>
        <w:gridCol w:w="340"/>
        <w:gridCol w:w="3920"/>
        <w:gridCol w:w="1800"/>
        <w:gridCol w:w="1800"/>
        <w:gridCol w:w="1800"/>
        <w:gridCol w:w="1800"/>
        <w:gridCol w:w="1800"/>
        <w:gridCol w:w="1800"/>
      </w:tblGrid>
      <w:tr>
        <w:tblPrEx>
          <w:tblCellMar>
            <w:top w:w="0" w:type="dxa"/>
            <w:left w:w="108" w:type="dxa"/>
            <w:bottom w:w="0" w:type="dxa"/>
            <w:right w:w="108" w:type="dxa"/>
          </w:tblCellMar>
        </w:tblPrEx>
        <w:trPr>
          <w:trHeight w:val="375" w:hRule="atLeast"/>
        </w:trPr>
        <w:tc>
          <w:tcPr>
            <w:tcW w:w="15740" w:type="dxa"/>
            <w:gridSpan w:val="10"/>
            <w:tcBorders>
              <w:top w:val="nil"/>
              <w:left w:val="nil"/>
              <w:bottom w:val="nil"/>
            </w:tcBorders>
            <w:shd w:val="clear" w:color="000000" w:fill="FFFFFF"/>
            <w:noWrap/>
            <w:vAlign w:val="center"/>
          </w:tcPr>
          <w:p>
            <w:pPr>
              <w:widowControl/>
              <w:jc w:val="center"/>
              <w:rPr>
                <w:rFonts w:ascii="黑体" w:hAnsi="黑体" w:eastAsia="黑体" w:cs="Times New Roman"/>
                <w:color w:val="000000"/>
                <w:kern w:val="0"/>
                <w:sz w:val="30"/>
                <w:szCs w:val="30"/>
              </w:rPr>
            </w:pPr>
            <w:r>
              <w:rPr>
                <w:rFonts w:hint="eastAsia" w:ascii="黑体" w:hAnsi="黑体" w:eastAsia="黑体" w:cs="黑体"/>
                <w:color w:val="000000"/>
                <w:kern w:val="0"/>
                <w:sz w:val="30"/>
                <w:szCs w:val="30"/>
              </w:rPr>
              <w:t>支出决算表</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nil"/>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03</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00" w:hRule="atLeast"/>
        </w:trPr>
        <w:tc>
          <w:tcPr>
            <w:tcW w:w="4940" w:type="dxa"/>
            <w:gridSpan w:val="4"/>
            <w:tcBorders>
              <w:top w:val="nil"/>
              <w:left w:val="nil"/>
              <w:bottom w:val="single" w:color="808080" w:sz="4" w:space="0"/>
              <w:right w:val="nil"/>
            </w:tcBorders>
            <w:shd w:val="clear" w:color="000000" w:fill="FFFFFF"/>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部门：湖南省质量技术监督局信息中心</w:t>
            </w:r>
          </w:p>
        </w:tc>
        <w:tc>
          <w:tcPr>
            <w:tcW w:w="1800" w:type="dxa"/>
            <w:tcBorders>
              <w:top w:val="nil"/>
              <w:left w:val="nil"/>
              <w:bottom w:val="single" w:color="808080" w:sz="4" w:space="0"/>
              <w:right w:val="nil"/>
            </w:tcBorders>
            <w:shd w:val="clear" w:color="000000" w:fill="FFFFFF"/>
            <w:noWrap/>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2020</w:t>
            </w:r>
            <w:r>
              <w:rPr>
                <w:rFonts w:hint="eastAsia" w:ascii="宋体" w:hAnsi="宋体" w:cs="宋体"/>
                <w:color w:val="000000"/>
                <w:kern w:val="0"/>
                <w:sz w:val="22"/>
                <w:szCs w:val="22"/>
              </w:rPr>
              <w:t>年度</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800" w:type="dxa"/>
            <w:tcBorders>
              <w:top w:val="nil"/>
              <w:left w:val="nil"/>
              <w:bottom w:val="single" w:color="808080" w:sz="4" w:space="0"/>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金额单位：万元</w:t>
            </w:r>
          </w:p>
        </w:tc>
      </w:tr>
      <w:tr>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项目</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本年支出合计</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基本支出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项目支出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上缴上级支出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经营支出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栏次</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5</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6</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合计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229.45</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228.51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一般公共服务支出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194.41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193.47</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20138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市场监督管理事务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194.41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193.47</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2013808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信息化建设</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2013850</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事业运行</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193.47</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193.47</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教育支出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20508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进修及培训</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2050803</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社会保障和就业支出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行政事业单位养老支出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2080505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住房保障支出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22102</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住房改革支出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b/>
                <w:bCs/>
                <w:kern w:val="0"/>
                <w:sz w:val="20"/>
                <w:szCs w:val="20"/>
              </w:rPr>
            </w:pPr>
            <w:r>
              <w:rPr>
                <w:rFonts w:ascii="宋体" w:cs="宋体"/>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10.34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10.34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2210203</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购房补贴</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5.42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5.42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15740" w:type="dxa"/>
            <w:gridSpan w:val="10"/>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注：本表反映部门本年度各项支出情况。</w:t>
            </w:r>
          </w:p>
        </w:tc>
      </w:tr>
    </w:tbl>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tbl>
      <w:tblPr>
        <w:tblStyle w:val="6"/>
        <w:tblW w:w="5000" w:type="pct"/>
        <w:tblInd w:w="-106" w:type="dxa"/>
        <w:tblLayout w:type="autofit"/>
        <w:tblCellMar>
          <w:top w:w="0" w:type="dxa"/>
          <w:left w:w="108" w:type="dxa"/>
          <w:bottom w:w="0" w:type="dxa"/>
          <w:right w:w="108" w:type="dxa"/>
        </w:tblCellMar>
      </w:tblPr>
      <w:tblGrid>
        <w:gridCol w:w="3474"/>
        <w:gridCol w:w="476"/>
        <w:gridCol w:w="1356"/>
        <w:gridCol w:w="3933"/>
        <w:gridCol w:w="1148"/>
        <w:gridCol w:w="763"/>
        <w:gridCol w:w="1356"/>
        <w:gridCol w:w="1126"/>
        <w:gridCol w:w="1982"/>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tcBorders>
            <w:shd w:val="clear" w:color="000000" w:fill="FFFFFF"/>
            <w:noWrap/>
            <w:vAlign w:val="center"/>
          </w:tcPr>
          <w:p>
            <w:pPr>
              <w:widowControl/>
              <w:jc w:val="center"/>
              <w:rPr>
                <w:rFonts w:ascii="黑体" w:hAnsi="黑体" w:eastAsia="黑体" w:cs="Times New Roman"/>
                <w:color w:val="000000"/>
                <w:kern w:val="0"/>
                <w:sz w:val="30"/>
                <w:szCs w:val="30"/>
              </w:rPr>
            </w:pPr>
            <w:bookmarkStart w:id="0" w:name="RANGE_A1_F16"/>
            <w:r>
              <w:rPr>
                <w:rFonts w:hint="eastAsia" w:ascii="黑体" w:hAnsi="黑体" w:eastAsia="黑体" w:cs="黑体"/>
                <w:color w:val="000000"/>
                <w:kern w:val="0"/>
                <w:sz w:val="30"/>
                <w:szCs w:val="30"/>
              </w:rPr>
              <w:t>财政拨款收入支出决算总表</w:t>
            </w:r>
          </w:p>
        </w:tc>
      </w:tr>
      <w:tr>
        <w:tblPrEx>
          <w:tblCellMar>
            <w:top w:w="0" w:type="dxa"/>
            <w:left w:w="108" w:type="dxa"/>
            <w:bottom w:w="0" w:type="dxa"/>
            <w:right w:w="108" w:type="dxa"/>
          </w:tblCellMar>
        </w:tblPrEx>
        <w:trPr>
          <w:trHeight w:val="300" w:hRule="atLeast"/>
        </w:trPr>
        <w:tc>
          <w:tcPr>
            <w:tcW w:w="1113"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53"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35"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260"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3"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45"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35"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0"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635" w:type="pct"/>
            <w:tcBorders>
              <w:top w:val="nil"/>
              <w:left w:val="nil"/>
              <w:bottom w:val="nil"/>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04</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00" w:hRule="atLeast"/>
        </w:trPr>
        <w:tc>
          <w:tcPr>
            <w:tcW w:w="1701" w:type="pct"/>
            <w:gridSpan w:val="3"/>
            <w:tcBorders>
              <w:top w:val="nil"/>
              <w:left w:val="nil"/>
              <w:bottom w:val="single" w:color="808080" w:sz="4" w:space="0"/>
              <w:right w:val="nil"/>
            </w:tcBorders>
            <w:shd w:val="clear" w:color="000000" w:fill="FFFFFF"/>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部门：湖南省质量技术监督局信息中心</w:t>
            </w:r>
          </w:p>
        </w:tc>
        <w:tc>
          <w:tcPr>
            <w:tcW w:w="1260"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3" w:type="pct"/>
            <w:tcBorders>
              <w:top w:val="nil"/>
              <w:left w:val="nil"/>
              <w:bottom w:val="single" w:color="808080" w:sz="4" w:space="0"/>
              <w:right w:val="nil"/>
            </w:tcBorders>
            <w:shd w:val="clear" w:color="000000" w:fill="FFFFFF"/>
            <w:noWrap/>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2020</w:t>
            </w:r>
            <w:r>
              <w:rPr>
                <w:rFonts w:hint="eastAsia" w:ascii="宋体" w:hAnsi="宋体" w:cs="宋体"/>
                <w:color w:val="000000"/>
                <w:kern w:val="0"/>
                <w:sz w:val="22"/>
                <w:szCs w:val="22"/>
              </w:rPr>
              <w:t>年度</w:t>
            </w:r>
          </w:p>
        </w:tc>
        <w:tc>
          <w:tcPr>
            <w:tcW w:w="245"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35"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0"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635" w:type="pct"/>
            <w:tcBorders>
              <w:top w:val="nil"/>
              <w:left w:val="nil"/>
              <w:bottom w:val="single" w:color="808080" w:sz="4" w:space="0"/>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00" w:hRule="atLeast"/>
        </w:trPr>
        <w:tc>
          <w:tcPr>
            <w:tcW w:w="1701"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p>
        </w:tc>
        <w:tc>
          <w:tcPr>
            <w:tcW w:w="3299" w:type="pct"/>
            <w:gridSpan w:val="6"/>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p>
        </w:tc>
      </w:tr>
      <w:tr>
        <w:tblPrEx>
          <w:tblCellMar>
            <w:top w:w="0" w:type="dxa"/>
            <w:left w:w="108" w:type="dxa"/>
            <w:bottom w:w="0" w:type="dxa"/>
            <w:right w:w="108" w:type="dxa"/>
          </w:tblCellMar>
        </w:tblPrEx>
        <w:trPr>
          <w:trHeight w:val="312" w:hRule="atLeast"/>
        </w:trPr>
        <w:tc>
          <w:tcPr>
            <w:tcW w:w="1113" w:type="pct"/>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项目</w:t>
            </w:r>
          </w:p>
        </w:tc>
        <w:tc>
          <w:tcPr>
            <w:tcW w:w="153"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435"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金额</w:t>
            </w:r>
          </w:p>
        </w:tc>
        <w:tc>
          <w:tcPr>
            <w:tcW w:w="1260" w:type="pct"/>
            <w:vMerge w:val="restart"/>
            <w:tcBorders>
              <w:top w:val="nil"/>
              <w:left w:val="nil"/>
              <w:bottom w:val="single" w:color="000000" w:sz="4" w:space="0"/>
              <w:right w:val="single" w:color="000000" w:sz="4" w:space="0"/>
            </w:tcBorders>
            <w:shd w:val="clear" w:color="000000" w:fill="FFFFFF"/>
            <w:vAlign w:val="bottom"/>
          </w:tcPr>
          <w:p>
            <w:pPr>
              <w:widowControl/>
              <w:jc w:val="left"/>
              <w:rPr>
                <w:rFonts w:ascii="宋体" w:cs="Times New Roman"/>
                <w:kern w:val="0"/>
                <w:sz w:val="20"/>
                <w:szCs w:val="20"/>
              </w:rPr>
            </w:pPr>
            <w:r>
              <w:rPr>
                <w:rFonts w:hint="eastAsia" w:ascii="宋体" w:hAnsi="宋体" w:cs="宋体"/>
                <w:kern w:val="0"/>
                <w:sz w:val="20"/>
                <w:szCs w:val="20"/>
              </w:rPr>
              <w:t>项目</w:t>
            </w:r>
          </w:p>
        </w:tc>
        <w:tc>
          <w:tcPr>
            <w:tcW w:w="363"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245" w:type="pct"/>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合计</w:t>
            </w:r>
          </w:p>
        </w:tc>
        <w:tc>
          <w:tcPr>
            <w:tcW w:w="435"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一般公共预算财政拨款</w:t>
            </w:r>
          </w:p>
        </w:tc>
        <w:tc>
          <w:tcPr>
            <w:tcW w:w="360"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政府性基金预算财政拨款</w:t>
            </w:r>
          </w:p>
        </w:tc>
        <w:tc>
          <w:tcPr>
            <w:tcW w:w="635"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1113"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153"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3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260"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363"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4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3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360"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63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栏次</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1260" w:type="pct"/>
            <w:tcBorders>
              <w:top w:val="nil"/>
              <w:left w:val="nil"/>
              <w:bottom w:val="single" w:color="000000" w:sz="4" w:space="0"/>
              <w:right w:val="single" w:color="000000" w:sz="4" w:space="0"/>
            </w:tcBorders>
            <w:shd w:val="clear" w:color="000000" w:fill="FFFFFF"/>
            <w:noWrap/>
            <w:vAlign w:val="bottom"/>
          </w:tcPr>
          <w:p>
            <w:pPr>
              <w:widowControl/>
              <w:jc w:val="left"/>
              <w:rPr>
                <w:rFonts w:ascii="宋体" w:cs="Times New Roman"/>
                <w:kern w:val="0"/>
                <w:sz w:val="20"/>
                <w:szCs w:val="20"/>
              </w:rPr>
            </w:pPr>
            <w:r>
              <w:rPr>
                <w:rFonts w:hint="eastAsia" w:ascii="宋体" w:hAnsi="宋体" w:cs="宋体"/>
                <w:kern w:val="0"/>
                <w:sz w:val="20"/>
                <w:szCs w:val="20"/>
              </w:rPr>
              <w:t>栏次</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一、一般公共预算财政拨款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276.28</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一、一般公共服务支出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33</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194.41</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194.41</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二、政府性基金预算财政拨款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二、外交支出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34</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三、国有资本经营财政拨款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三、国防支出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35</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四、公共安全支出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36</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五、教育支出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37</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六、科学技术支出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38</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7</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七、文化旅游体育与传媒支出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39</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8</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八、社会保障和就业支出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40</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9</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九、卫生健康支出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41</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10</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十、节能环保支出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42</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11</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十一、城乡社区支出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43</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十二、农林水支出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44</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13</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十三、交通运输支出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45</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14</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十四、资源勘探工业信息等支出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46</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15</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十五、商业服务业等支出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47</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16</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十六、金融支出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48</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17</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十七、援助其他地区支出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49</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18</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十八、自然资源海洋气象等支出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50</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19</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十九、住房保障支出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51</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15.76</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15.76</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20</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二十、粮油物资储备支出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52</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21</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二十一、国有资本经营预算支出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53</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二十二、灾害防治及应急管理支出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54</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23</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二十三、其他支出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55</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24</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二十四、债务还本支出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56</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25</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二十五、债务付息支出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57</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26</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二十六、抗疫特别国债安排的支出</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58</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本年收入合计</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27</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276.28</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本年支出合计</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59</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229.45</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229.45</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年初财政拨款结转和结余</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28</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4.49</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年末财政拨款结转和结余</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60</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51.33</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51.33</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29</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4.49</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61</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30</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62</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国有资本经营预算财政拨款</w:t>
            </w:r>
          </w:p>
        </w:tc>
        <w:tc>
          <w:tcPr>
            <w:tcW w:w="15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31</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63</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13"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总计</w:t>
            </w:r>
          </w:p>
        </w:tc>
        <w:tc>
          <w:tcPr>
            <w:tcW w:w="153" w:type="pct"/>
            <w:tcBorders>
              <w:top w:val="nil"/>
              <w:left w:val="nil"/>
              <w:bottom w:val="single" w:color="000000" w:sz="12"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32</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280.77</w:t>
            </w:r>
          </w:p>
        </w:tc>
        <w:tc>
          <w:tcPr>
            <w:tcW w:w="1260"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总计</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64</w:t>
            </w:r>
          </w:p>
        </w:tc>
        <w:tc>
          <w:tcPr>
            <w:tcW w:w="24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280.77</w:t>
            </w:r>
          </w:p>
        </w:tc>
        <w:tc>
          <w:tcPr>
            <w:tcW w:w="4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280.77</w:t>
            </w:r>
          </w:p>
        </w:tc>
        <w:tc>
          <w:tcPr>
            <w:tcW w:w="36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6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4365" w:type="pct"/>
            <w:gridSpan w:val="8"/>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注：本表反映部门本年度一般公共预算财政拨款、政府性基金预算财政拨款和国有资本经营预算财政拨款的总收支和年末结转结余情况。</w:t>
            </w:r>
          </w:p>
        </w:tc>
        <w:tc>
          <w:tcPr>
            <w:tcW w:w="635" w:type="pct"/>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r>
    </w:tbl>
    <w:p>
      <w:pPr>
        <w:widowControl/>
        <w:jc w:val="center"/>
        <w:rPr>
          <w:rFonts w:ascii="Times New Roman" w:hAnsi="Times New Roman" w:eastAsia="方正小标宋_GBK" w:cs="Times New Roman"/>
          <w:kern w:val="0"/>
          <w:sz w:val="36"/>
          <w:szCs w:val="36"/>
        </w:rPr>
      </w:pPr>
    </w:p>
    <w:p>
      <w:pPr>
        <w:widowControl/>
        <w:jc w:val="left"/>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p>
      <w:pPr>
        <w:widowControl/>
        <w:jc w:val="center"/>
        <w:rPr>
          <w:rFonts w:ascii="Times New Roman" w:hAnsi="Times New Roman" w:eastAsia="方正小标宋_GBK" w:cs="Times New Roman"/>
          <w:kern w:val="0"/>
          <w:sz w:val="36"/>
          <w:szCs w:val="36"/>
        </w:rPr>
      </w:pPr>
    </w:p>
    <w:bookmarkEnd w:id="0"/>
    <w:tbl>
      <w:tblPr>
        <w:tblStyle w:val="6"/>
        <w:tblW w:w="15339" w:type="dxa"/>
        <w:tblInd w:w="-106" w:type="dxa"/>
        <w:tblLayout w:type="autofit"/>
        <w:tblCellMar>
          <w:top w:w="0" w:type="dxa"/>
          <w:left w:w="108" w:type="dxa"/>
          <w:bottom w:w="0" w:type="dxa"/>
          <w:right w:w="108" w:type="dxa"/>
        </w:tblCellMar>
      </w:tblPr>
      <w:tblGrid>
        <w:gridCol w:w="1257"/>
        <w:gridCol w:w="1257"/>
        <w:gridCol w:w="1257"/>
        <w:gridCol w:w="4815"/>
        <w:gridCol w:w="2032"/>
        <w:gridCol w:w="2032"/>
        <w:gridCol w:w="2689"/>
      </w:tblGrid>
      <w:tr>
        <w:tblPrEx>
          <w:tblCellMar>
            <w:top w:w="0" w:type="dxa"/>
            <w:left w:w="108" w:type="dxa"/>
            <w:bottom w:w="0" w:type="dxa"/>
            <w:right w:w="108" w:type="dxa"/>
          </w:tblCellMar>
        </w:tblPrEx>
        <w:trPr>
          <w:trHeight w:val="375" w:hRule="atLeast"/>
        </w:trPr>
        <w:tc>
          <w:tcPr>
            <w:tcW w:w="15339" w:type="dxa"/>
            <w:gridSpan w:val="7"/>
            <w:tcBorders>
              <w:top w:val="nil"/>
              <w:left w:val="nil"/>
              <w:bottom w:val="nil"/>
            </w:tcBorders>
            <w:shd w:val="clear" w:color="000000" w:fill="FFFFFF"/>
            <w:noWrap/>
            <w:vAlign w:val="center"/>
          </w:tcPr>
          <w:p>
            <w:pPr>
              <w:widowControl/>
              <w:jc w:val="center"/>
              <w:rPr>
                <w:rFonts w:ascii="黑体" w:hAnsi="黑体" w:eastAsia="黑体" w:cs="Times New Roman"/>
                <w:color w:val="000000"/>
                <w:kern w:val="0"/>
                <w:sz w:val="30"/>
                <w:szCs w:val="30"/>
              </w:rPr>
            </w:pPr>
            <w:r>
              <w:rPr>
                <w:rFonts w:hint="eastAsia" w:ascii="黑体" w:hAnsi="黑体" w:eastAsia="黑体" w:cs="黑体"/>
                <w:color w:val="000000"/>
                <w:kern w:val="0"/>
                <w:sz w:val="30"/>
                <w:szCs w:val="30"/>
              </w:rPr>
              <w:t>一般公共预算财政拨款支出决算表</w:t>
            </w:r>
          </w:p>
        </w:tc>
      </w:tr>
      <w:tr>
        <w:tblPrEx>
          <w:tblCellMar>
            <w:top w:w="0" w:type="dxa"/>
            <w:left w:w="108" w:type="dxa"/>
            <w:bottom w:w="0" w:type="dxa"/>
            <w:right w:w="108" w:type="dxa"/>
          </w:tblCellMar>
        </w:tblPrEx>
        <w:trPr>
          <w:trHeight w:val="300" w:hRule="atLeast"/>
        </w:trPr>
        <w:tc>
          <w:tcPr>
            <w:tcW w:w="1257"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257"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257"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15"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32"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32" w:type="dxa"/>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689" w:type="dxa"/>
            <w:tcBorders>
              <w:top w:val="nil"/>
              <w:left w:val="nil"/>
              <w:bottom w:val="nil"/>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05</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00" w:hRule="atLeast"/>
        </w:trPr>
        <w:tc>
          <w:tcPr>
            <w:tcW w:w="3771" w:type="dxa"/>
            <w:gridSpan w:val="3"/>
            <w:tcBorders>
              <w:top w:val="nil"/>
              <w:left w:val="nil"/>
              <w:bottom w:val="single" w:color="808080" w:sz="4" w:space="0"/>
              <w:right w:val="nil"/>
            </w:tcBorders>
            <w:shd w:val="clear" w:color="000000" w:fill="FFFFFF"/>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部门：湖南省质量技术监督局信息中心</w:t>
            </w:r>
          </w:p>
        </w:tc>
        <w:tc>
          <w:tcPr>
            <w:tcW w:w="4815" w:type="dxa"/>
            <w:tcBorders>
              <w:top w:val="nil"/>
              <w:left w:val="nil"/>
              <w:bottom w:val="single" w:color="808080" w:sz="4" w:space="0"/>
              <w:right w:val="nil"/>
            </w:tcBorders>
            <w:shd w:val="clear" w:color="000000" w:fill="FFFFFF"/>
            <w:noWrap/>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2020</w:t>
            </w:r>
            <w:r>
              <w:rPr>
                <w:rFonts w:hint="eastAsia" w:ascii="宋体" w:hAnsi="宋体" w:cs="宋体"/>
                <w:color w:val="000000"/>
                <w:kern w:val="0"/>
                <w:sz w:val="22"/>
                <w:szCs w:val="22"/>
              </w:rPr>
              <w:t>年度</w:t>
            </w:r>
          </w:p>
        </w:tc>
        <w:tc>
          <w:tcPr>
            <w:tcW w:w="2032"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32" w:type="dxa"/>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689" w:type="dxa"/>
            <w:tcBorders>
              <w:top w:val="nil"/>
              <w:left w:val="nil"/>
              <w:bottom w:val="single" w:color="808080" w:sz="4" w:space="0"/>
            </w:tcBorders>
            <w:shd w:val="clear" w:color="000000" w:fill="FFFFFF"/>
            <w:noWrap/>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00" w:hRule="atLeast"/>
        </w:trPr>
        <w:tc>
          <w:tcPr>
            <w:tcW w:w="8586"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项目</w:t>
            </w:r>
          </w:p>
        </w:tc>
        <w:tc>
          <w:tcPr>
            <w:tcW w:w="6753"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本年支出</w:t>
            </w:r>
          </w:p>
        </w:tc>
      </w:tr>
      <w:tr>
        <w:tblPrEx>
          <w:tblCellMar>
            <w:top w:w="0" w:type="dxa"/>
            <w:left w:w="108" w:type="dxa"/>
            <w:bottom w:w="0" w:type="dxa"/>
            <w:right w:w="108" w:type="dxa"/>
          </w:tblCellMar>
        </w:tblPrEx>
        <w:trPr>
          <w:trHeight w:val="312" w:hRule="atLeast"/>
        </w:trPr>
        <w:tc>
          <w:tcPr>
            <w:tcW w:w="3771"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功能分类科目编码</w:t>
            </w:r>
          </w:p>
        </w:tc>
        <w:tc>
          <w:tcPr>
            <w:tcW w:w="4815"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203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小计</w:t>
            </w:r>
          </w:p>
        </w:tc>
        <w:tc>
          <w:tcPr>
            <w:tcW w:w="203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基本支出</w:t>
            </w:r>
          </w:p>
        </w:tc>
        <w:tc>
          <w:tcPr>
            <w:tcW w:w="2689"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项目支出</w:t>
            </w:r>
          </w:p>
        </w:tc>
      </w:tr>
      <w:tr>
        <w:tblPrEx>
          <w:tblCellMar>
            <w:top w:w="0" w:type="dxa"/>
            <w:left w:w="108" w:type="dxa"/>
            <w:bottom w:w="0" w:type="dxa"/>
            <w:right w:w="108" w:type="dxa"/>
          </w:tblCellMar>
        </w:tblPrEx>
        <w:trPr>
          <w:trHeight w:val="312" w:hRule="atLeast"/>
        </w:trPr>
        <w:tc>
          <w:tcPr>
            <w:tcW w:w="37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4815"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32"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32"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689"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12" w:hRule="atLeast"/>
        </w:trPr>
        <w:tc>
          <w:tcPr>
            <w:tcW w:w="377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4815"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32"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32"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689" w:type="dxa"/>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8586"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栏次</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trHeight w:val="300" w:hRule="atLeast"/>
        </w:trPr>
        <w:tc>
          <w:tcPr>
            <w:tcW w:w="8586"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合计</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229.45</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228.51</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一般公共服务支出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194.41</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193.47</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20138</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市场监督管理事务</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194.41</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193.47</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0.94</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2013808</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信息化建设</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0.94</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0.94</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2013850</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事业运行</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193.47</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193.47</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教育支出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20508</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进修及培训</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2.06</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2050803</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社会保障和就业支出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20805</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行政事业单位养老支出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17.22</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2080505</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17.22</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住房保障支出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ascii="宋体" w:hAnsi="宋体" w:cs="宋体"/>
                <w:b/>
                <w:bCs/>
                <w:kern w:val="0"/>
                <w:sz w:val="20"/>
                <w:szCs w:val="20"/>
              </w:rPr>
              <w:t>22102</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b/>
                <w:bCs/>
                <w:kern w:val="0"/>
                <w:sz w:val="20"/>
                <w:szCs w:val="20"/>
              </w:rPr>
            </w:pPr>
            <w:r>
              <w:rPr>
                <w:rFonts w:hint="eastAsia" w:ascii="宋体" w:hAnsi="宋体" w:cs="宋体"/>
                <w:b/>
                <w:bCs/>
                <w:kern w:val="0"/>
                <w:sz w:val="20"/>
                <w:szCs w:val="20"/>
              </w:rPr>
              <w:t>住房改革支出</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ascii="宋体" w:hAnsi="宋体" w:cs="宋体"/>
                <w:b/>
                <w:bCs/>
                <w:kern w:val="0"/>
                <w:sz w:val="20"/>
                <w:szCs w:val="20"/>
              </w:rPr>
              <w:t>15.76</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2210201</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10.34</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10.34</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377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2210203</w:t>
            </w:r>
          </w:p>
        </w:tc>
        <w:tc>
          <w:tcPr>
            <w:tcW w:w="4815"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购房补贴</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5.42</w:t>
            </w:r>
          </w:p>
        </w:tc>
        <w:tc>
          <w:tcPr>
            <w:tcW w:w="2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5.42</w:t>
            </w:r>
          </w:p>
        </w:tc>
        <w:tc>
          <w:tcPr>
            <w:tcW w:w="26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5339" w:type="dxa"/>
            <w:gridSpan w:val="7"/>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注：本表反映部门本年度一般公共预算财政拨款支出情况。</w:t>
            </w:r>
          </w:p>
        </w:tc>
      </w:tr>
    </w:tbl>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p>
    <w:tbl>
      <w:tblPr>
        <w:tblStyle w:val="6"/>
        <w:tblW w:w="5000" w:type="pct"/>
        <w:tblInd w:w="-106" w:type="dxa"/>
        <w:tblLayout w:type="autofit"/>
        <w:tblCellMar>
          <w:top w:w="0" w:type="dxa"/>
          <w:left w:w="108" w:type="dxa"/>
          <w:bottom w:w="0" w:type="dxa"/>
          <w:right w:w="108" w:type="dxa"/>
        </w:tblCellMar>
      </w:tblPr>
      <w:tblGrid>
        <w:gridCol w:w="713"/>
        <w:gridCol w:w="3216"/>
        <w:gridCol w:w="1291"/>
        <w:gridCol w:w="713"/>
        <w:gridCol w:w="2216"/>
        <w:gridCol w:w="1260"/>
        <w:gridCol w:w="713"/>
        <w:gridCol w:w="4016"/>
        <w:gridCol w:w="1476"/>
      </w:tblGrid>
      <w:tr>
        <w:trPr>
          <w:trHeight w:val="375" w:hRule="atLeast"/>
        </w:trPr>
        <w:tc>
          <w:tcPr>
            <w:tcW w:w="5000" w:type="pct"/>
            <w:gridSpan w:val="9"/>
            <w:tcBorders>
              <w:top w:val="nil"/>
              <w:left w:val="nil"/>
              <w:bottom w:val="nil"/>
            </w:tcBorders>
            <w:shd w:val="clear" w:color="000000" w:fill="FFFFFF"/>
            <w:noWrap/>
            <w:vAlign w:val="center"/>
          </w:tcPr>
          <w:p>
            <w:pPr>
              <w:widowControl/>
              <w:jc w:val="center"/>
              <w:rPr>
                <w:rFonts w:ascii="黑体" w:hAnsi="黑体" w:eastAsia="黑体" w:cs="Times New Roman"/>
                <w:color w:val="000000"/>
                <w:kern w:val="0"/>
                <w:sz w:val="30"/>
                <w:szCs w:val="30"/>
              </w:rPr>
            </w:pPr>
            <w:r>
              <w:rPr>
                <w:rFonts w:ascii="Times New Roman" w:hAnsi="Times New Roman" w:eastAsia="方正小标宋_GBK" w:cs="Times New Roman"/>
                <w:color w:val="000000"/>
                <w:kern w:val="0"/>
                <w:sz w:val="36"/>
                <w:szCs w:val="36"/>
              </w:rPr>
              <w:br w:type="page"/>
            </w:r>
            <w:r>
              <w:rPr>
                <w:rFonts w:hint="eastAsia" w:ascii="黑体" w:hAnsi="黑体" w:eastAsia="黑体" w:cs="黑体"/>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20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55"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9"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755"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9"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22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9" w:type="pct"/>
            <w:tcBorders>
              <w:top w:val="nil"/>
              <w:left w:val="nil"/>
              <w:bottom w:val="nil"/>
            </w:tcBorders>
            <w:shd w:val="clear" w:color="000000" w:fill="FFFFFF"/>
            <w:noWrap/>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CellMar>
            <w:top w:w="0" w:type="dxa"/>
            <w:left w:w="108" w:type="dxa"/>
            <w:bottom w:w="0" w:type="dxa"/>
            <w:right w:w="108" w:type="dxa"/>
          </w:tblCellMar>
        </w:tblPrEx>
        <w:trPr>
          <w:trHeight w:val="300" w:hRule="atLeast"/>
        </w:trPr>
        <w:tc>
          <w:tcPr>
            <w:tcW w:w="1156" w:type="pct"/>
            <w:gridSpan w:val="2"/>
            <w:tcBorders>
              <w:top w:val="nil"/>
              <w:left w:val="nil"/>
              <w:bottom w:val="single" w:color="808080" w:sz="4" w:space="0"/>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部门：湖南省质量技术监督局信息中心</w:t>
            </w:r>
          </w:p>
        </w:tc>
        <w:tc>
          <w:tcPr>
            <w:tcW w:w="489"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1"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755" w:type="pct"/>
            <w:tcBorders>
              <w:top w:val="nil"/>
              <w:left w:val="nil"/>
              <w:bottom w:val="single" w:color="808080" w:sz="4" w:space="0"/>
              <w:right w:val="nil"/>
            </w:tcBorders>
            <w:shd w:val="clear" w:color="000000" w:fill="FFFFFF"/>
            <w:noWrap/>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　</w:t>
            </w:r>
          </w:p>
        </w:tc>
        <w:tc>
          <w:tcPr>
            <w:tcW w:w="489"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201"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221"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89" w:type="pct"/>
            <w:tcBorders>
              <w:top w:val="nil"/>
              <w:left w:val="nil"/>
              <w:bottom w:val="single" w:color="808080" w:sz="4" w:space="0"/>
            </w:tcBorders>
            <w:shd w:val="clear" w:color="000000" w:fill="FFFFFF"/>
            <w:noWrap/>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金额单位：万元</w:t>
            </w:r>
          </w:p>
        </w:tc>
      </w:tr>
      <w:tr>
        <w:trPr>
          <w:trHeight w:val="300" w:hRule="atLeast"/>
        </w:trPr>
        <w:tc>
          <w:tcPr>
            <w:tcW w:w="1645"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人员经费</w:t>
            </w:r>
          </w:p>
        </w:tc>
        <w:tc>
          <w:tcPr>
            <w:tcW w:w="3355" w:type="pct"/>
            <w:gridSpan w:val="6"/>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公用经费</w:t>
            </w:r>
          </w:p>
        </w:tc>
      </w:tr>
      <w:tr>
        <w:trPr>
          <w:trHeight w:val="312" w:hRule="atLeast"/>
        </w:trPr>
        <w:tc>
          <w:tcPr>
            <w:tcW w:w="201" w:type="pct"/>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科目编码</w:t>
            </w:r>
          </w:p>
        </w:tc>
        <w:tc>
          <w:tcPr>
            <w:tcW w:w="955"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489"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决算数</w:t>
            </w:r>
          </w:p>
        </w:tc>
        <w:tc>
          <w:tcPr>
            <w:tcW w:w="201"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科目编码</w:t>
            </w:r>
          </w:p>
        </w:tc>
        <w:tc>
          <w:tcPr>
            <w:tcW w:w="755"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489"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决算数</w:t>
            </w:r>
          </w:p>
        </w:tc>
        <w:tc>
          <w:tcPr>
            <w:tcW w:w="201"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科目编码</w:t>
            </w:r>
          </w:p>
        </w:tc>
        <w:tc>
          <w:tcPr>
            <w:tcW w:w="1221"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科目名称</w:t>
            </w:r>
          </w:p>
        </w:tc>
        <w:tc>
          <w:tcPr>
            <w:tcW w:w="489"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决算数</w:t>
            </w:r>
          </w:p>
        </w:tc>
      </w:tr>
      <w:tr>
        <w:tblPrEx>
          <w:tblCellMar>
            <w:top w:w="0" w:type="dxa"/>
            <w:left w:w="108" w:type="dxa"/>
            <w:bottom w:w="0" w:type="dxa"/>
            <w:right w:w="108" w:type="dxa"/>
          </w:tblCellMar>
        </w:tblPrEx>
        <w:trPr>
          <w:trHeight w:val="312" w:hRule="atLeast"/>
        </w:trPr>
        <w:tc>
          <w:tcPr>
            <w:tcW w:w="20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95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1"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755"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201"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1221"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工资福利支出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128.36</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商品和服务支出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100.15</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307</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债务利息及费用支出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30101</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基本工资</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28.69</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30201</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办公费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2.34</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30701</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国内债务付息</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30102</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津贴补贴</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8.07</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30202</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印刷费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3.30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30702</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国外债务付息</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30103</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奖金</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19.25</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30203</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咨询费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资本性支出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30106</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伙食补助费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4.10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30204</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手续费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31001</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房屋建筑物购建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30107</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绩效工资</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39.82</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30205</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31002</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办公设备购置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30108</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机关事业单位基本养老保险缴费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12.01</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30206</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电费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31003</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专用设备购置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30109</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职业年金缴费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30207</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邮电费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31005</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基础设施建设</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30110</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职工基本医疗保险缴费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5.03</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30208</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取暖费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31006</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大型修缮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30111</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公务员医疗补助缴费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30209</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物业管理费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31007</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信息网络及软件购置更新</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30112</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其他社会保障缴费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0.18</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30211</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差旅费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2.79</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31008</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物资储备</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30113</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住房公积金</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10.34</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30212</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因公出国（境）费用</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31009</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土地补偿</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30114</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医疗费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0.86</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30213</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维修（护）费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31010</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安置补助</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30199</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其他工资福利支出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30214</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租赁费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31011</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地上附着物和青苗补偿</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对个人和家庭的补助</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30215</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会议费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31012</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拆迁补偿</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30301</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离休费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30216</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培训费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2.06</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31013</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公务用车购置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30302</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退休费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30217</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公务接待费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0.99</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31019</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其他交通工具购置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30303</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退职（役）费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30218</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专用材料费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31021</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文物和陈列品购置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30304</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抚恤金</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30224</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被装购置费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31022</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无形资产购置</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30305</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生活补助</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30225</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专用燃料费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31099</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其他资本性支出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30306</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救济费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30226</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劳务费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399</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其他支出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30307</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医疗费补助</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30227</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委托业务费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78.90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39906</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赠与</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30308</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助学金</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30228</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工会经费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6.54</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39907</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国家赔偿费用支出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30309</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奖励金</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30229</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福利费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39908</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对民间非营利组织和群众性自治组织补贴</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30310</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个人农业生产补贴</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30231</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公务用车运行维护费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39999</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30311</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代缴社会保险费</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30239</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其他交通费用</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0.02</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30399</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其他对个人和家庭的补助</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30240</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税金及附加费用</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30299</w:t>
            </w:r>
          </w:p>
        </w:tc>
        <w:tc>
          <w:tcPr>
            <w:tcW w:w="75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其他商品和服务支出</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2.30</w:t>
            </w:r>
          </w:p>
        </w:tc>
        <w:tc>
          <w:tcPr>
            <w:tcW w:w="2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122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00" w:hRule="atLeast"/>
        </w:trPr>
        <w:tc>
          <w:tcPr>
            <w:tcW w:w="1156" w:type="pct"/>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人员经费合计</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128.36</w:t>
            </w:r>
          </w:p>
        </w:tc>
        <w:tc>
          <w:tcPr>
            <w:tcW w:w="2866" w:type="pct"/>
            <w:gridSpan w:val="5"/>
            <w:tcBorders>
              <w:top w:val="nil"/>
              <w:left w:val="nil"/>
              <w:bottom w:val="single" w:color="000000" w:sz="4" w:space="0"/>
              <w:right w:val="single" w:color="000000"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公用经费合计</w:t>
            </w:r>
          </w:p>
        </w:tc>
        <w:tc>
          <w:tcPr>
            <w:tcW w:w="48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100.15</w:t>
            </w:r>
          </w:p>
        </w:tc>
      </w:tr>
      <w:tr>
        <w:trPr>
          <w:trHeight w:val="300" w:hRule="atLeast"/>
        </w:trPr>
        <w:tc>
          <w:tcPr>
            <w:tcW w:w="5000" w:type="pct"/>
            <w:gridSpan w:val="9"/>
            <w:tcBorders>
              <w:top w:val="nil"/>
              <w:left w:val="nil"/>
              <w:bottom w:val="nil"/>
              <w:right w:val="nil"/>
            </w:tcBorders>
            <w:shd w:val="clear" w:color="000000" w:fill="FFFFFF"/>
            <w:noWrap/>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注：本表反映部门本年度一般公共预算财政拨款基本支出明细情况。</w:t>
            </w:r>
          </w:p>
        </w:tc>
      </w:tr>
    </w:tbl>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widowControl/>
        <w:jc w:val="left"/>
        <w:rPr>
          <w:rFonts w:ascii="Times New Roman" w:hAnsi="Times New Roman" w:eastAsia="方正小标宋_GBK" w:cs="Times New Roman"/>
          <w:color w:val="000000"/>
          <w:kern w:val="0"/>
          <w:sz w:val="36"/>
          <w:szCs w:val="36"/>
        </w:rPr>
      </w:pPr>
    </w:p>
    <w:tbl>
      <w:tblPr>
        <w:tblStyle w:val="6"/>
        <w:tblW w:w="5000" w:type="pct"/>
        <w:tblInd w:w="-106" w:type="dxa"/>
        <w:tblLayout w:type="autofit"/>
        <w:tblCellMar>
          <w:top w:w="0" w:type="dxa"/>
          <w:left w:w="108" w:type="dxa"/>
          <w:bottom w:w="0" w:type="dxa"/>
          <w:right w:w="108" w:type="dxa"/>
        </w:tblCellMar>
      </w:tblPr>
      <w:tblGrid>
        <w:gridCol w:w="1319"/>
        <w:gridCol w:w="1319"/>
        <w:gridCol w:w="1318"/>
        <w:gridCol w:w="1200"/>
        <w:gridCol w:w="1200"/>
        <w:gridCol w:w="2028"/>
        <w:gridCol w:w="1175"/>
        <w:gridCol w:w="1200"/>
        <w:gridCol w:w="1072"/>
        <w:gridCol w:w="1032"/>
        <w:gridCol w:w="994"/>
        <w:gridCol w:w="1757"/>
      </w:tblGrid>
      <w:tr>
        <w:tblPrEx>
          <w:tblCellMar>
            <w:top w:w="0" w:type="dxa"/>
            <w:left w:w="108" w:type="dxa"/>
            <w:bottom w:w="0" w:type="dxa"/>
            <w:right w:w="108" w:type="dxa"/>
          </w:tblCellMar>
        </w:tblPrEx>
        <w:trPr>
          <w:trHeight w:val="555" w:hRule="atLeast"/>
        </w:trPr>
        <w:tc>
          <w:tcPr>
            <w:tcW w:w="5000" w:type="pct"/>
            <w:gridSpan w:val="12"/>
            <w:tcBorders>
              <w:top w:val="nil"/>
              <w:left w:val="nil"/>
              <w:bottom w:val="nil"/>
            </w:tcBorders>
            <w:shd w:val="clear" w:color="000000" w:fill="FFFFFF"/>
            <w:noWrap/>
            <w:vAlign w:val="center"/>
          </w:tcPr>
          <w:p>
            <w:pPr>
              <w:widowControl/>
              <w:jc w:val="center"/>
              <w:rPr>
                <w:rFonts w:ascii="黑体" w:hAnsi="黑体" w:eastAsia="黑体" w:cs="Times New Roman"/>
                <w:kern w:val="0"/>
                <w:sz w:val="44"/>
                <w:szCs w:val="44"/>
              </w:rPr>
            </w:pPr>
            <w:r>
              <w:rPr>
                <w:rFonts w:hint="eastAsia" w:ascii="黑体" w:hAnsi="黑体" w:eastAsia="黑体" w:cs="黑体"/>
                <w:kern w:val="0"/>
                <w:sz w:val="44"/>
                <w:szCs w:val="44"/>
              </w:rPr>
              <w:t>一般公共预算财政拨款“三公”经费支出决算表</w:t>
            </w:r>
          </w:p>
        </w:tc>
      </w:tr>
      <w:tr>
        <w:tblPrEx>
          <w:tblCellMar>
            <w:top w:w="0" w:type="dxa"/>
            <w:left w:w="108" w:type="dxa"/>
            <w:bottom w:w="0" w:type="dxa"/>
            <w:right w:w="108" w:type="dxa"/>
          </w:tblCellMar>
        </w:tblPrEx>
        <w:trPr>
          <w:trHeight w:val="300" w:hRule="atLeast"/>
        </w:trPr>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预算代码：</w:t>
            </w:r>
          </w:p>
        </w:tc>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4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09"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76"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3"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1" w:type="pct"/>
            <w:tcBorders>
              <w:top w:val="nil"/>
              <w:left w:val="nil"/>
              <w:bottom w:val="nil"/>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61" w:type="pct"/>
            <w:tcBorders>
              <w:top w:val="nil"/>
              <w:left w:val="nil"/>
              <w:bottom w:val="nil"/>
            </w:tcBorders>
            <w:shd w:val="clear" w:color="000000" w:fill="FFFFFF"/>
            <w:noWrap/>
            <w:vAlign w:val="center"/>
          </w:tcPr>
          <w:p>
            <w:pPr>
              <w:widowControl/>
              <w:jc w:val="right"/>
              <w:rPr>
                <w:rFonts w:ascii="宋体" w:cs="Times New Roman"/>
                <w:kern w:val="0"/>
                <w:sz w:val="22"/>
                <w:szCs w:val="22"/>
              </w:rPr>
            </w:pPr>
            <w:r>
              <w:rPr>
                <w:rFonts w:hint="eastAsia" w:ascii="宋体" w:hAnsi="宋体" w:cs="宋体"/>
                <w:kern w:val="0"/>
                <w:sz w:val="22"/>
                <w:szCs w:val="22"/>
              </w:rPr>
              <w:t>公开</w:t>
            </w:r>
            <w:r>
              <w:rPr>
                <w:rFonts w:ascii="宋体" w:hAnsi="宋体" w:cs="宋体"/>
                <w:kern w:val="0"/>
                <w:sz w:val="22"/>
                <w:szCs w:val="22"/>
              </w:rPr>
              <w:t>07</w:t>
            </w:r>
            <w:r>
              <w:rPr>
                <w:rFonts w:hint="eastAsia" w:ascii="宋体" w:hAnsi="宋体" w:cs="宋体"/>
                <w:kern w:val="0"/>
                <w:sz w:val="22"/>
                <w:szCs w:val="22"/>
              </w:rPr>
              <w:t>表</w:t>
            </w:r>
          </w:p>
        </w:tc>
      </w:tr>
      <w:tr>
        <w:tblPrEx>
          <w:tblCellMar>
            <w:top w:w="0" w:type="dxa"/>
            <w:left w:w="108" w:type="dxa"/>
            <w:bottom w:w="0" w:type="dxa"/>
            <w:right w:w="108" w:type="dxa"/>
          </w:tblCellMar>
        </w:tblPrEx>
        <w:trPr>
          <w:trHeight w:val="300" w:hRule="atLeast"/>
        </w:trPr>
        <w:tc>
          <w:tcPr>
            <w:tcW w:w="1250" w:type="pct"/>
            <w:gridSpan w:val="3"/>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22"/>
                <w:szCs w:val="22"/>
              </w:rPr>
            </w:pPr>
            <w:r>
              <w:rPr>
                <w:rFonts w:hint="eastAsia" w:ascii="宋体" w:hAnsi="宋体" w:cs="宋体"/>
                <w:kern w:val="0"/>
                <w:sz w:val="22"/>
                <w:szCs w:val="22"/>
              </w:rPr>
              <w:t>部门：湖南省质量技术监督局信息中心</w:t>
            </w:r>
          </w:p>
        </w:tc>
        <w:tc>
          <w:tcPr>
            <w:tcW w:w="417"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541" w:type="pct"/>
            <w:tcBorders>
              <w:top w:val="nil"/>
              <w:left w:val="nil"/>
              <w:bottom w:val="single" w:color="808080" w:sz="4" w:space="0"/>
              <w:right w:val="nil"/>
            </w:tcBorders>
            <w:shd w:val="clear" w:color="000000" w:fill="FFFFFF"/>
            <w:noWrap/>
            <w:vAlign w:val="center"/>
          </w:tcPr>
          <w:p>
            <w:pPr>
              <w:widowControl/>
              <w:jc w:val="center"/>
              <w:rPr>
                <w:rFonts w:ascii="宋体" w:cs="Times New Roman"/>
                <w:kern w:val="0"/>
                <w:sz w:val="22"/>
                <w:szCs w:val="22"/>
              </w:rPr>
            </w:pPr>
            <w:r>
              <w:rPr>
                <w:rFonts w:hint="eastAsia" w:ascii="宋体" w:hAnsi="宋体" w:cs="宋体"/>
                <w:kern w:val="0"/>
                <w:sz w:val="22"/>
                <w:szCs w:val="22"/>
              </w:rPr>
              <w:t>制表日期：</w:t>
            </w:r>
            <w:r>
              <w:rPr>
                <w:rFonts w:ascii="宋体" w:hAnsi="宋体" w:cs="宋体"/>
                <w:kern w:val="0"/>
                <w:sz w:val="22"/>
                <w:szCs w:val="22"/>
              </w:rPr>
              <w:t>2020</w:t>
            </w:r>
            <w:r>
              <w:rPr>
                <w:rFonts w:hint="eastAsia" w:ascii="宋体" w:hAnsi="宋体" w:cs="宋体"/>
                <w:kern w:val="0"/>
                <w:sz w:val="22"/>
                <w:szCs w:val="22"/>
              </w:rPr>
              <w:t>年</w:t>
            </w:r>
          </w:p>
        </w:tc>
        <w:tc>
          <w:tcPr>
            <w:tcW w:w="409"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17"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76"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63"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1" w:type="pct"/>
            <w:tcBorders>
              <w:top w:val="nil"/>
              <w:left w:val="nil"/>
              <w:bottom w:val="single" w:color="808080" w:sz="4" w:space="0"/>
              <w:right w:val="nil"/>
            </w:tcBorders>
            <w:shd w:val="clear" w:color="000000" w:fill="FFFFFF"/>
            <w:noWrap/>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461" w:type="pct"/>
            <w:tcBorders>
              <w:top w:val="nil"/>
              <w:left w:val="nil"/>
              <w:bottom w:val="single" w:color="808080" w:sz="4" w:space="0"/>
            </w:tcBorders>
            <w:shd w:val="clear" w:color="000000" w:fill="FFFFFF"/>
            <w:noWrap/>
            <w:vAlign w:val="center"/>
          </w:tcPr>
          <w:p>
            <w:pPr>
              <w:widowControl/>
              <w:jc w:val="right"/>
              <w:rPr>
                <w:rFonts w:ascii="宋体" w:cs="Times New Roman"/>
                <w:kern w:val="0"/>
                <w:sz w:val="22"/>
                <w:szCs w:val="22"/>
              </w:rPr>
            </w:pPr>
            <w:r>
              <w:rPr>
                <w:rFonts w:hint="eastAsia" w:ascii="宋体" w:hAnsi="宋体" w:cs="宋体"/>
                <w:kern w:val="0"/>
                <w:sz w:val="22"/>
                <w:szCs w:val="22"/>
              </w:rPr>
              <w:t>金额单位：万元</w:t>
            </w:r>
          </w:p>
        </w:tc>
      </w:tr>
      <w:tr>
        <w:tblPrEx>
          <w:tblCellMar>
            <w:top w:w="0" w:type="dxa"/>
            <w:left w:w="108" w:type="dxa"/>
            <w:bottom w:w="0" w:type="dxa"/>
            <w:right w:w="108" w:type="dxa"/>
          </w:tblCellMar>
        </w:tblPrEx>
        <w:trPr>
          <w:trHeight w:val="300" w:hRule="atLeast"/>
        </w:trPr>
        <w:tc>
          <w:tcPr>
            <w:tcW w:w="2625" w:type="pct"/>
            <w:gridSpan w:val="6"/>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预算数</w:t>
            </w:r>
          </w:p>
        </w:tc>
        <w:tc>
          <w:tcPr>
            <w:tcW w:w="2375" w:type="pct"/>
            <w:gridSpan w:val="6"/>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决算数</w:t>
            </w:r>
          </w:p>
        </w:tc>
      </w:tr>
      <w:tr>
        <w:tblPrEx>
          <w:tblCellMar>
            <w:top w:w="0" w:type="dxa"/>
            <w:left w:w="108" w:type="dxa"/>
            <w:bottom w:w="0" w:type="dxa"/>
            <w:right w:w="108" w:type="dxa"/>
          </w:tblCellMar>
        </w:tblPrEx>
        <w:trPr>
          <w:trHeight w:val="300" w:hRule="atLeast"/>
        </w:trPr>
        <w:tc>
          <w:tcPr>
            <w:tcW w:w="417" w:type="pct"/>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合计</w:t>
            </w:r>
          </w:p>
        </w:tc>
        <w:tc>
          <w:tcPr>
            <w:tcW w:w="417"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因公出国（境）费</w:t>
            </w:r>
          </w:p>
        </w:tc>
        <w:tc>
          <w:tcPr>
            <w:tcW w:w="1250" w:type="pct"/>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公务用车购置及运行费</w:t>
            </w:r>
          </w:p>
        </w:tc>
        <w:tc>
          <w:tcPr>
            <w:tcW w:w="541"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公务接待费</w:t>
            </w:r>
          </w:p>
        </w:tc>
        <w:tc>
          <w:tcPr>
            <w:tcW w:w="409"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合计</w:t>
            </w:r>
          </w:p>
        </w:tc>
        <w:tc>
          <w:tcPr>
            <w:tcW w:w="417"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因公出国（境）费</w:t>
            </w:r>
          </w:p>
        </w:tc>
        <w:tc>
          <w:tcPr>
            <w:tcW w:w="1089" w:type="pct"/>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公务用车购置及运行费</w:t>
            </w:r>
          </w:p>
        </w:tc>
        <w:tc>
          <w:tcPr>
            <w:tcW w:w="461" w:type="pct"/>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公务接待费</w:t>
            </w:r>
          </w:p>
        </w:tc>
      </w:tr>
      <w:tr>
        <w:tblPrEx>
          <w:tblCellMar>
            <w:top w:w="0" w:type="dxa"/>
            <w:left w:w="108" w:type="dxa"/>
            <w:bottom w:w="0" w:type="dxa"/>
            <w:right w:w="108" w:type="dxa"/>
          </w:tblCellMar>
        </w:tblPrEx>
        <w:trPr>
          <w:trHeight w:val="600" w:hRule="atLeast"/>
        </w:trPr>
        <w:tc>
          <w:tcPr>
            <w:tcW w:w="41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0"/>
                <w:szCs w:val="20"/>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小计</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公务用车购置费</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公务用车运行费</w:t>
            </w:r>
          </w:p>
        </w:tc>
        <w:tc>
          <w:tcPr>
            <w:tcW w:w="541"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09"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c>
          <w:tcPr>
            <w:tcW w:w="376"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小计</w:t>
            </w:r>
          </w:p>
        </w:tc>
        <w:tc>
          <w:tcPr>
            <w:tcW w:w="363"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公务用车购置费</w:t>
            </w:r>
          </w:p>
        </w:tc>
        <w:tc>
          <w:tcPr>
            <w:tcW w:w="351"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公务用车运行费</w:t>
            </w:r>
          </w:p>
        </w:tc>
        <w:tc>
          <w:tcPr>
            <w:tcW w:w="461" w:type="pct"/>
            <w:vMerge w:val="continue"/>
            <w:tcBorders>
              <w:top w:val="nil"/>
              <w:left w:val="nil"/>
              <w:bottom w:val="single" w:color="000000" w:sz="4" w:space="0"/>
              <w:right w:val="single" w:color="000000" w:sz="4" w:space="0"/>
            </w:tcBorders>
            <w:vAlign w:val="center"/>
          </w:tcPr>
          <w:p>
            <w:pPr>
              <w:widowControl/>
              <w:jc w:val="left"/>
              <w:rPr>
                <w:rFonts w:ascii="宋体" w:cs="Times New Roman"/>
                <w:kern w:val="0"/>
                <w:sz w:val="20"/>
                <w:szCs w:val="20"/>
              </w:rPr>
            </w:pPr>
          </w:p>
        </w:tc>
      </w:tr>
      <w:tr>
        <w:tblPrEx>
          <w:tblCellMar>
            <w:top w:w="0" w:type="dxa"/>
            <w:left w:w="108" w:type="dxa"/>
            <w:bottom w:w="0" w:type="dxa"/>
            <w:right w:w="108" w:type="dxa"/>
          </w:tblCellMar>
        </w:tblPrEx>
        <w:trPr>
          <w:trHeight w:val="300" w:hRule="atLeast"/>
        </w:trPr>
        <w:tc>
          <w:tcPr>
            <w:tcW w:w="417" w:type="pc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5</w:t>
            </w:r>
          </w:p>
        </w:tc>
        <w:tc>
          <w:tcPr>
            <w:tcW w:w="541"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6</w:t>
            </w:r>
          </w:p>
        </w:tc>
        <w:tc>
          <w:tcPr>
            <w:tcW w:w="409"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7</w:t>
            </w:r>
          </w:p>
        </w:tc>
        <w:tc>
          <w:tcPr>
            <w:tcW w:w="417"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8</w:t>
            </w:r>
          </w:p>
        </w:tc>
        <w:tc>
          <w:tcPr>
            <w:tcW w:w="376"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9</w:t>
            </w:r>
          </w:p>
        </w:tc>
        <w:tc>
          <w:tcPr>
            <w:tcW w:w="363"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10</w:t>
            </w:r>
          </w:p>
        </w:tc>
        <w:tc>
          <w:tcPr>
            <w:tcW w:w="351"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11</w:t>
            </w:r>
          </w:p>
        </w:tc>
        <w:tc>
          <w:tcPr>
            <w:tcW w:w="461" w:type="pct"/>
            <w:tcBorders>
              <w:top w:val="nil"/>
              <w:left w:val="nil"/>
              <w:bottom w:val="single" w:color="000000" w:sz="4" w:space="0"/>
              <w:right w:val="single" w:color="000000" w:sz="4" w:space="0"/>
            </w:tcBorders>
            <w:shd w:val="clear" w:color="000000" w:fill="FFFFFF"/>
            <w:vAlign w:val="center"/>
          </w:tcPr>
          <w:p>
            <w:pPr>
              <w:widowControl/>
              <w:jc w:val="center"/>
              <w:rPr>
                <w:rFonts w:ascii="宋体" w:cs="Times New Roman"/>
                <w:kern w:val="0"/>
                <w:sz w:val="20"/>
                <w:szCs w:val="20"/>
              </w:rPr>
            </w:pPr>
            <w:r>
              <w:rPr>
                <w:rFonts w:ascii="宋体" w:hAnsi="宋体" w:cs="宋体"/>
                <w:kern w:val="0"/>
                <w:sz w:val="20"/>
                <w:szCs w:val="20"/>
              </w:rPr>
              <w:t>12</w:t>
            </w:r>
          </w:p>
        </w:tc>
      </w:tr>
      <w:tr>
        <w:tblPrEx>
          <w:tblCellMar>
            <w:top w:w="0" w:type="dxa"/>
            <w:left w:w="108" w:type="dxa"/>
            <w:bottom w:w="0" w:type="dxa"/>
            <w:right w:w="108" w:type="dxa"/>
          </w:tblCellMar>
        </w:tblPrEx>
        <w:trPr>
          <w:trHeight w:val="300" w:hRule="atLeast"/>
        </w:trPr>
        <w:tc>
          <w:tcPr>
            <w:tcW w:w="417"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0.99</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54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0.99</w:t>
            </w:r>
          </w:p>
        </w:tc>
        <w:tc>
          <w:tcPr>
            <w:tcW w:w="40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0.99</w:t>
            </w:r>
          </w:p>
        </w:tc>
        <w:tc>
          <w:tcPr>
            <w:tcW w:w="417"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3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36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35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宋体"/>
                <w:kern w:val="0"/>
                <w:sz w:val="20"/>
                <w:szCs w:val="20"/>
              </w:rPr>
            </w:pPr>
            <w:r>
              <w:rPr>
                <w:rFonts w:ascii="宋体" w:cs="宋体"/>
                <w:kern w:val="0"/>
                <w:sz w:val="20"/>
                <w:szCs w:val="20"/>
              </w:rPr>
              <w:t>0.00</w:t>
            </w:r>
          </w:p>
        </w:tc>
        <w:tc>
          <w:tcPr>
            <w:tcW w:w="46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cs="Times New Roman"/>
                <w:kern w:val="0"/>
                <w:sz w:val="20"/>
                <w:szCs w:val="20"/>
              </w:rPr>
            </w:pPr>
            <w:r>
              <w:rPr>
                <w:rFonts w:ascii="宋体" w:hAnsi="宋体" w:cs="宋体"/>
                <w:kern w:val="0"/>
                <w:sz w:val="20"/>
                <w:szCs w:val="20"/>
              </w:rPr>
              <w:t>0.99</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cs="Times New Roman"/>
          <w:kern w:val="0"/>
          <w:sz w:val="24"/>
          <w:szCs w:val="24"/>
        </w:rPr>
      </w:pPr>
      <w:r>
        <w:rPr>
          <w:rFonts w:ascii="宋体" w:cs="Times New Roman"/>
          <w:kern w:val="0"/>
          <w:sz w:val="24"/>
          <w:szCs w:val="24"/>
        </w:rPr>
        <w:br w:type="page"/>
      </w:r>
    </w:p>
    <w:p>
      <w:pPr>
        <w:autoSpaceDE w:val="0"/>
        <w:autoSpaceDN w:val="0"/>
        <w:adjustRightInd w:val="0"/>
        <w:ind w:left="315" w:leftChars="150"/>
        <w:jc w:val="left"/>
        <w:rPr>
          <w:rFonts w:ascii="宋体" w:cs="Times New Roman"/>
          <w:kern w:val="0"/>
          <w:sz w:val="24"/>
          <w:szCs w:val="24"/>
        </w:rPr>
      </w:pPr>
    </w:p>
    <w:p>
      <w:pPr>
        <w:widowControl/>
        <w:jc w:val="center"/>
        <w:outlineLvl w:val="1"/>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政府性基金预算财政拨款收入支出决算表</w:t>
      </w:r>
    </w:p>
    <w:p>
      <w:pPr>
        <w:widowControl/>
        <w:ind w:firstLine="525" w:firstLineChars="250"/>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部门：湖南省质量技术监督局信息中心公开</w:t>
      </w:r>
      <w:r>
        <w:rPr>
          <w:rFonts w:ascii="Times New Roman" w:hAnsi="Times New Roman" w:eastAsia="仿宋_GB2312" w:cs="Times New Roman"/>
          <w:color w:val="000000"/>
          <w:kern w:val="0"/>
        </w:rPr>
        <w:t>08</w:t>
      </w:r>
      <w:r>
        <w:rPr>
          <w:rFonts w:hint="eastAsia" w:ascii="Times New Roman" w:hAnsi="Times New Roman" w:eastAsia="仿宋_GB2312" w:cs="仿宋_GB2312"/>
          <w:color w:val="000000"/>
          <w:kern w:val="0"/>
        </w:rPr>
        <w:t>表</w:t>
      </w:r>
    </w:p>
    <w:p>
      <w:pPr>
        <w:widowControl/>
        <w:jc w:val="center"/>
        <w:outlineLvl w:val="1"/>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年初结转和结余</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本年收入</w:t>
            </w:r>
          </w:p>
        </w:tc>
        <w:tc>
          <w:tcPr>
            <w:tcW w:w="6000" w:type="dxa"/>
            <w:gridSpan w:val="3"/>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13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c>
          <w:tcPr>
            <w:tcW w:w="2000" w:type="dxa"/>
            <w:vMerge w:val="continue"/>
            <w:vAlign w:val="center"/>
          </w:tcPr>
          <w:p>
            <w:pPr>
              <w:widowControl/>
              <w:jc w:val="left"/>
              <w:rPr>
                <w:rFonts w:ascii="Times New Roman" w:hAnsi="Times New Roman" w:eastAsia="仿宋_GB2312" w:cs="Times New Roman"/>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栏次</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0</w:t>
            </w: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0</w:t>
            </w: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r>
              <w:rPr>
                <w:rFonts w:ascii="Times New Roman" w:hAnsi="Times New Roman" w:eastAsia="仿宋_GB2312" w:cs="Times New Roman"/>
                <w:kern w:val="0"/>
              </w:rPr>
              <w:t>0</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r>
              <w:rPr>
                <w:rFonts w:ascii="Times New Roman" w:hAnsi="Times New Roman" w:eastAsia="仿宋_GB2312" w:cs="Times New Roman"/>
                <w:kern w:val="0"/>
              </w:rPr>
              <w:t>0</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r>
              <w:rPr>
                <w:rFonts w:ascii="Times New Roman" w:hAnsi="Times New Roman" w:eastAsia="仿宋_GB2312" w:cs="Times New Roman"/>
                <w:kern w:val="0"/>
              </w:rPr>
              <w:t>0</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0</w:t>
            </w: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bl>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注：本表反映部门本年度政府性基金预算财政拨款收入、支出及结转和结余情况</w:t>
      </w: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t>(</w:t>
      </w:r>
      <w:r>
        <w:rPr>
          <w:rFonts w:hint="eastAsia" w:ascii="Times New Roman" w:hAnsi="Times New Roman" w:eastAsia="仿宋_GB2312" w:cs="仿宋_GB2312"/>
          <w:kern w:val="0"/>
        </w:rPr>
        <w:t>若本单位无政府性基金收支</w:t>
      </w:r>
      <w:r>
        <w:rPr>
          <w:rFonts w:ascii="Times New Roman" w:hAnsi="Times New Roman" w:eastAsia="仿宋_GB2312" w:cs="Times New Roman"/>
          <w:kern w:val="0"/>
        </w:rPr>
        <w:t>,</w:t>
      </w:r>
      <w:r>
        <w:rPr>
          <w:rFonts w:hint="eastAsia" w:ascii="Times New Roman" w:hAnsi="Times New Roman" w:eastAsia="仿宋_GB2312" w:cs="仿宋_GB2312"/>
          <w:kern w:val="0"/>
        </w:rPr>
        <w:t>请说明：</w:t>
      </w:r>
      <w:r>
        <w:rPr>
          <w:rFonts w:ascii="Times New Roman" w:hAnsi="Times New Roman" w:eastAsia="仿宋_GB2312" w:cs="Times New Roman"/>
          <w:kern w:val="0"/>
        </w:rPr>
        <w:t>XX</w:t>
      </w:r>
      <w:r>
        <w:rPr>
          <w:rFonts w:hint="eastAsia" w:ascii="Times New Roman" w:hAnsi="Times New Roman" w:eastAsia="仿宋_GB2312" w:cs="仿宋_GB2312"/>
          <w:kern w:val="0"/>
        </w:rPr>
        <w:t>单位没有政府性基金收入，也没有使用政府性基金安排的支出，故本表无数据</w:t>
      </w:r>
      <w:r>
        <w:rPr>
          <w:rFonts w:ascii="Times New Roman" w:hAnsi="Times New Roman" w:eastAsia="仿宋_GB2312" w:cs="Times New Roman"/>
          <w:kern w:val="0"/>
        </w:rPr>
        <w:t>)</w:t>
      </w:r>
      <w:r>
        <w:rPr>
          <w:rFonts w:hint="eastAsia" w:ascii="Times New Roman" w:hAnsi="Times New Roman" w:eastAsia="仿宋_GB2312" w:cs="仿宋_GB2312"/>
          <w:kern w:val="0"/>
        </w:rPr>
        <w:t>。</w:t>
      </w:r>
    </w:p>
    <w:p>
      <w:pPr>
        <w:widowControl/>
        <w:jc w:val="left"/>
        <w:rPr>
          <w:rFonts w:ascii="黑体" w:hAnsi="黑体" w:eastAsia="黑体" w:cs="Times New Roman"/>
        </w:rPr>
      </w:pPr>
      <w:r>
        <w:rPr>
          <w:rFonts w:ascii="黑体" w:hAnsi="黑体" w:eastAsia="黑体" w:cs="Times New Roman"/>
        </w:rPr>
        <w:br w:type="page"/>
      </w:r>
    </w:p>
    <w:tbl>
      <w:tblPr>
        <w:tblStyle w:val="6"/>
        <w:tblW w:w="14190" w:type="dxa"/>
        <w:jc w:val="center"/>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jc w:val="center"/>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Times New Roman"/>
                <w:kern w:val="0"/>
                <w:sz w:val="32"/>
                <w:szCs w:val="32"/>
              </w:rPr>
            </w:pPr>
            <w:r>
              <w:rPr>
                <w:rFonts w:hint="eastAsia" w:ascii="华文中宋" w:hAnsi="华文中宋" w:eastAsia="华文中宋" w:cs="华文中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10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jc w:val="center"/>
        </w:trPr>
        <w:tc>
          <w:tcPr>
            <w:tcW w:w="6060" w:type="dxa"/>
            <w:gridSpan w:val="5"/>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部门：湖南省质量技术监督局信息中心</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rPr>
          <w:trHeight w:val="402" w:hRule="atLeast"/>
          <w:jc w:val="center"/>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jc w:val="center"/>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jc w:val="center"/>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jc w:val="center"/>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rPr>
          <w:trHeight w:val="402" w:hRule="atLeast"/>
          <w:jc w:val="center"/>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jc w:val="center"/>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r>
              <w:rPr>
                <w:rFonts w:ascii="宋体" w:cs="宋体"/>
                <w:kern w:val="0"/>
                <w:sz w:val="24"/>
                <w:szCs w:val="24"/>
              </w:rPr>
              <w:t>0</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cs="宋体"/>
                <w:kern w:val="0"/>
                <w:sz w:val="24"/>
                <w:szCs w:val="24"/>
              </w:rPr>
              <w:t>0</w:t>
            </w: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r>
              <w:rPr>
                <w:rFonts w:ascii="宋体" w:cs="宋体"/>
                <w:kern w:val="0"/>
                <w:sz w:val="24"/>
                <w:szCs w:val="24"/>
              </w:rPr>
              <w:t>0</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rPr>
          <w:trHeight w:val="720" w:hRule="atLeast"/>
          <w:jc w:val="center"/>
        </w:trPr>
        <w:tc>
          <w:tcPr>
            <w:tcW w:w="14190" w:type="dxa"/>
            <w:gridSpan w:val="9"/>
            <w:tcBorders>
              <w:top w:val="single" w:color="auto" w:sz="8" w:space="0"/>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注：本表反映部门本年度国有资本经营预算财政拨款支出情况。</w:t>
            </w:r>
          </w:p>
        </w:tc>
      </w:tr>
    </w:tbl>
    <w:p>
      <w:pPr>
        <w:pStyle w:val="10"/>
        <w:rPr>
          <w:rFonts w:cs="Times New Roman"/>
          <w:sz w:val="72"/>
          <w:szCs w:val="72"/>
        </w:rPr>
        <w:sectPr>
          <w:pgSz w:w="16838" w:h="11906" w:orient="landscape"/>
          <w:pgMar w:top="1134" w:right="720" w:bottom="720" w:left="720" w:header="851" w:footer="992" w:gutter="0"/>
          <w:cols w:space="425" w:num="1"/>
          <w:docGrid w:type="lines" w:linePitch="312" w:charSpace="0"/>
        </w:sect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0"/>
        <w:jc w:val="center"/>
        <w:rPr>
          <w:rFonts w:cs="Times New Roman"/>
          <w:sz w:val="52"/>
          <w:szCs w:val="52"/>
        </w:rPr>
      </w:pPr>
    </w:p>
    <w:p>
      <w:pPr>
        <w:pStyle w:val="10"/>
        <w:jc w:val="center"/>
        <w:rPr>
          <w:rFonts w:cs="Times New Roman"/>
          <w:sz w:val="52"/>
          <w:szCs w:val="52"/>
        </w:rPr>
      </w:pPr>
      <w:r>
        <w:rPr>
          <w:rFonts w:hint="eastAsia"/>
          <w:sz w:val="52"/>
          <w:szCs w:val="52"/>
        </w:rPr>
        <w:t>第三部分</w:t>
      </w:r>
    </w:p>
    <w:p>
      <w:pPr>
        <w:pStyle w:val="10"/>
        <w:jc w:val="center"/>
        <w:outlineLvl w:val="0"/>
        <w:rPr>
          <w:rFonts w:cs="Times New Roman"/>
          <w:sz w:val="52"/>
          <w:szCs w:val="52"/>
        </w:rPr>
      </w:pPr>
      <w:r>
        <w:rPr>
          <w:sz w:val="52"/>
          <w:szCs w:val="52"/>
        </w:rPr>
        <w:t>2020</w:t>
      </w:r>
      <w:r>
        <w:rPr>
          <w:rFonts w:hint="eastAsia"/>
          <w:sz w:val="52"/>
          <w:szCs w:val="52"/>
        </w:rPr>
        <w:t>年度部门决算情况说明</w:t>
      </w:r>
    </w:p>
    <w:p>
      <w:pPr>
        <w:pStyle w:val="10"/>
        <w:jc w:val="center"/>
        <w:rPr>
          <w:rFonts w:cs="Times New Roman"/>
          <w:sz w:val="52"/>
          <w:szCs w:val="52"/>
        </w:rPr>
      </w:pPr>
    </w:p>
    <w:p>
      <w:pPr>
        <w:pStyle w:val="10"/>
        <w:autoSpaceDE/>
        <w:autoSpaceDN/>
        <w:adjustRightInd/>
        <w:spacing w:line="20" w:lineRule="exact"/>
        <w:jc w:val="both"/>
        <w:rPr>
          <w:rFonts w:cs="Times New Roman"/>
        </w:rPr>
      </w:pPr>
      <w:r>
        <w:rPr>
          <w:rFonts w:cs="Times New Roman"/>
        </w:rPr>
        <w:br w:type="page"/>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一、收入支出决算总体情况说明</w:t>
      </w:r>
    </w:p>
    <w:p>
      <w:pPr>
        <w:pStyle w:val="10"/>
        <w:autoSpaceDE/>
        <w:autoSpaceDN/>
        <w:adjustRightInd/>
        <w:spacing w:line="600" w:lineRule="exact"/>
        <w:ind w:firstLine="624" w:firstLineChars="200"/>
        <w:jc w:val="both"/>
        <w:rPr>
          <w:rFonts w:ascii="Times New Roman" w:hAnsi="Times New Roman" w:eastAsia="方正仿宋_GBK" w:cs="Times New Roman"/>
          <w:spacing w:val="-4"/>
          <w:sz w:val="32"/>
          <w:szCs w:val="32"/>
        </w:rPr>
      </w:pPr>
      <w:r>
        <w:rPr>
          <w:rFonts w:ascii="Times New Roman" w:hAnsi="Times New Roman" w:eastAsia="方正仿宋_GBK" w:cs="Times New Roman"/>
          <w:spacing w:val="-4"/>
          <w:sz w:val="32"/>
          <w:szCs w:val="32"/>
        </w:rPr>
        <w:t>2020</w:t>
      </w:r>
      <w:r>
        <w:rPr>
          <w:rFonts w:hint="eastAsia" w:ascii="Times New Roman" w:hAnsi="Times New Roman" w:eastAsia="方正仿宋_GBK" w:cs="方正仿宋_GBK"/>
          <w:spacing w:val="-4"/>
          <w:sz w:val="32"/>
          <w:szCs w:val="32"/>
        </w:rPr>
        <w:t>年度收、支总计</w:t>
      </w:r>
      <w:r>
        <w:rPr>
          <w:rFonts w:ascii="Times New Roman" w:hAnsi="Times New Roman" w:eastAsia="方正仿宋_GBK" w:cs="Times New Roman"/>
          <w:spacing w:val="-4"/>
          <w:sz w:val="32"/>
          <w:szCs w:val="32"/>
        </w:rPr>
        <w:t>281.97</w:t>
      </w:r>
      <w:r>
        <w:rPr>
          <w:rFonts w:hint="eastAsia" w:ascii="Times New Roman" w:hAnsi="Times New Roman" w:eastAsia="方正仿宋_GBK" w:cs="方正仿宋_GBK"/>
          <w:spacing w:val="-4"/>
          <w:sz w:val="32"/>
          <w:szCs w:val="32"/>
        </w:rPr>
        <w:t>万元。与上年相比，减少</w:t>
      </w:r>
      <w:r>
        <w:rPr>
          <w:rFonts w:ascii="Times New Roman" w:hAnsi="Times New Roman" w:eastAsia="方正仿宋_GBK" w:cs="Times New Roman"/>
          <w:spacing w:val="-4"/>
          <w:sz w:val="32"/>
          <w:szCs w:val="32"/>
        </w:rPr>
        <w:t>150.85</w:t>
      </w:r>
      <w:r>
        <w:rPr>
          <w:rFonts w:hint="eastAsia" w:ascii="Times New Roman" w:hAnsi="Times New Roman" w:eastAsia="方正仿宋_GBK" w:cs="方正仿宋_GBK"/>
          <w:spacing w:val="-4"/>
          <w:sz w:val="32"/>
          <w:szCs w:val="32"/>
        </w:rPr>
        <w:t>万元，减少</w:t>
      </w:r>
      <w:r>
        <w:rPr>
          <w:rFonts w:ascii="Times New Roman" w:hAnsi="Times New Roman" w:eastAsia="方正仿宋_GBK" w:cs="Times New Roman"/>
          <w:spacing w:val="-4"/>
          <w:sz w:val="32"/>
          <w:szCs w:val="32"/>
        </w:rPr>
        <w:t>53%</w:t>
      </w:r>
      <w:r>
        <w:rPr>
          <w:rFonts w:hint="eastAsia" w:ascii="Times New Roman" w:hAnsi="Times New Roman" w:eastAsia="方正仿宋_GBK" w:cs="方正仿宋_GBK"/>
          <w:spacing w:val="-4"/>
          <w:sz w:val="32"/>
          <w:szCs w:val="32"/>
        </w:rPr>
        <w:t>，主要是因为</w:t>
      </w:r>
      <w:r>
        <w:rPr>
          <w:rFonts w:ascii="Times New Roman" w:hAnsi="Times New Roman" w:eastAsia="方正仿宋_GBK" w:cs="Times New Roman"/>
          <w:spacing w:val="-4"/>
          <w:sz w:val="32"/>
          <w:szCs w:val="32"/>
        </w:rPr>
        <w:t>2020</w:t>
      </w:r>
      <w:r>
        <w:rPr>
          <w:rFonts w:hint="eastAsia" w:ascii="Times New Roman" w:hAnsi="Times New Roman" w:eastAsia="方正仿宋_GBK" w:cs="方正仿宋_GBK"/>
          <w:spacing w:val="-4"/>
          <w:sz w:val="32"/>
          <w:szCs w:val="32"/>
        </w:rPr>
        <w:t>年没有项目收入支出</w:t>
      </w:r>
      <w:r>
        <w:rPr>
          <w:rFonts w:ascii="Times New Roman" w:hAnsi="Times New Roman" w:eastAsia="方正仿宋_GBK" w:cs="Times New Roman"/>
          <w:spacing w:val="-4"/>
          <w:sz w:val="32"/>
          <w:szCs w:val="32"/>
        </w:rPr>
        <w:t>,</w:t>
      </w:r>
      <w:r>
        <w:rPr>
          <w:rFonts w:hint="eastAsia" w:ascii="Times New Roman" w:hAnsi="Times New Roman" w:eastAsia="方正仿宋_GBK" w:cs="方正仿宋_GBK"/>
          <w:spacing w:val="-4"/>
          <w:sz w:val="32"/>
          <w:szCs w:val="32"/>
        </w:rPr>
        <w:t>减少</w:t>
      </w:r>
      <w:r>
        <w:rPr>
          <w:rFonts w:ascii="Times New Roman" w:hAnsi="Times New Roman" w:eastAsia="方正仿宋_GBK" w:cs="Times New Roman"/>
          <w:spacing w:val="-4"/>
          <w:sz w:val="32"/>
          <w:szCs w:val="32"/>
        </w:rPr>
        <w:t>100</w:t>
      </w:r>
      <w:r>
        <w:rPr>
          <w:rFonts w:hint="eastAsia" w:ascii="Times New Roman" w:hAnsi="Times New Roman" w:eastAsia="方正仿宋_GBK" w:cs="方正仿宋_GBK"/>
          <w:spacing w:val="-4"/>
          <w:sz w:val="32"/>
          <w:szCs w:val="32"/>
        </w:rPr>
        <w:t>万元；且上年结转结余资金</w:t>
      </w:r>
      <w:r>
        <w:rPr>
          <w:rFonts w:ascii="Times New Roman" w:hAnsi="Times New Roman" w:eastAsia="方正仿宋_GBK" w:cs="Times New Roman"/>
          <w:spacing w:val="-4"/>
          <w:sz w:val="32"/>
          <w:szCs w:val="32"/>
        </w:rPr>
        <w:t>52.53</w:t>
      </w:r>
      <w:r>
        <w:rPr>
          <w:rFonts w:hint="eastAsia" w:ascii="Times New Roman" w:hAnsi="Times New Roman" w:eastAsia="方正仿宋_GBK" w:cs="方正仿宋_GBK"/>
          <w:spacing w:val="-4"/>
          <w:sz w:val="32"/>
          <w:szCs w:val="32"/>
        </w:rPr>
        <w:t>万元，财政只返回了</w:t>
      </w:r>
      <w:r>
        <w:rPr>
          <w:rFonts w:ascii="Times New Roman" w:hAnsi="Times New Roman" w:eastAsia="方正仿宋_GBK" w:cs="Times New Roman"/>
          <w:spacing w:val="-4"/>
          <w:sz w:val="32"/>
          <w:szCs w:val="32"/>
        </w:rPr>
        <w:t>5.69</w:t>
      </w:r>
      <w:r>
        <w:rPr>
          <w:rFonts w:hint="eastAsia" w:ascii="Times New Roman" w:hAnsi="Times New Roman" w:eastAsia="方正仿宋_GBK" w:cs="方正仿宋_GBK"/>
          <w:spacing w:val="-4"/>
          <w:sz w:val="32"/>
          <w:szCs w:val="32"/>
        </w:rPr>
        <w:t>万元。</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二、收入决算情况说明</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本年收入合计</w:t>
      </w:r>
      <w:r>
        <w:rPr>
          <w:rFonts w:ascii="Times New Roman" w:hAnsi="Times New Roman" w:eastAsia="方正仿宋_GBK" w:cs="Times New Roman"/>
          <w:sz w:val="32"/>
          <w:szCs w:val="32"/>
        </w:rPr>
        <w:t>276.28</w:t>
      </w:r>
      <w:r>
        <w:rPr>
          <w:rFonts w:hint="eastAsia" w:ascii="Times New Roman" w:hAnsi="Times New Roman" w:eastAsia="方正仿宋_GBK" w:cs="方正仿宋_GBK"/>
          <w:sz w:val="32"/>
          <w:szCs w:val="32"/>
        </w:rPr>
        <w:t>万元，其中：财政拨款收入</w:t>
      </w:r>
      <w:r>
        <w:rPr>
          <w:rFonts w:ascii="Times New Roman" w:hAnsi="Times New Roman" w:eastAsia="方正仿宋_GBK" w:cs="Times New Roman"/>
          <w:sz w:val="32"/>
          <w:szCs w:val="32"/>
        </w:rPr>
        <w:t>276.28</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100%</w:t>
      </w:r>
      <w:r>
        <w:rPr>
          <w:rFonts w:hint="eastAsia" w:ascii="Times New Roman" w:hAnsi="Times New Roman" w:eastAsia="方正仿宋_GBK" w:cs="方正仿宋_GBK"/>
          <w:sz w:val="32"/>
          <w:szCs w:val="32"/>
        </w:rPr>
        <w:t>；上级补助收入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；事业收入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；经营收入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；附属单位上缴收入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；其他收入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三、支出决算情况说明</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本年支出合计</w:t>
      </w:r>
      <w:r>
        <w:rPr>
          <w:rFonts w:ascii="Times New Roman" w:hAnsi="Times New Roman" w:eastAsia="方正仿宋_GBK" w:cs="Times New Roman"/>
          <w:sz w:val="32"/>
          <w:szCs w:val="32"/>
        </w:rPr>
        <w:t>229.45</w:t>
      </w:r>
      <w:r>
        <w:rPr>
          <w:rFonts w:hint="eastAsia" w:ascii="Times New Roman" w:hAnsi="Times New Roman" w:eastAsia="方正仿宋_GBK" w:cs="方正仿宋_GBK"/>
          <w:sz w:val="32"/>
          <w:szCs w:val="32"/>
        </w:rPr>
        <w:t>万元，其中：基本支出</w:t>
      </w:r>
      <w:r>
        <w:rPr>
          <w:rFonts w:ascii="Times New Roman" w:hAnsi="Times New Roman" w:eastAsia="方正仿宋_GBK" w:cs="Times New Roman"/>
          <w:sz w:val="32"/>
          <w:szCs w:val="32"/>
        </w:rPr>
        <w:t>228.51</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99.6%</w:t>
      </w:r>
      <w:r>
        <w:rPr>
          <w:rFonts w:hint="eastAsia" w:ascii="Times New Roman" w:hAnsi="Times New Roman" w:eastAsia="方正仿宋_GBK" w:cs="方正仿宋_GBK"/>
          <w:sz w:val="32"/>
          <w:szCs w:val="32"/>
        </w:rPr>
        <w:t>；项目支出</w:t>
      </w:r>
      <w:r>
        <w:rPr>
          <w:rFonts w:ascii="Times New Roman" w:hAnsi="Times New Roman" w:eastAsia="方正仿宋_GBK" w:cs="Times New Roman"/>
          <w:sz w:val="32"/>
          <w:szCs w:val="32"/>
        </w:rPr>
        <w:t>0.94</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0.94%</w:t>
      </w:r>
      <w:r>
        <w:rPr>
          <w:rFonts w:hint="eastAsia" w:ascii="Times New Roman" w:hAnsi="Times New Roman" w:eastAsia="方正仿宋_GBK" w:cs="方正仿宋_GBK"/>
          <w:sz w:val="32"/>
          <w:szCs w:val="32"/>
        </w:rPr>
        <w:t>；上缴上级支出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；经营支出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；对附属单位补助支出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四、财政拨款收入支出决算总体情况说明</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年度财政拨款收、支总计</w:t>
      </w:r>
      <w:r>
        <w:rPr>
          <w:rFonts w:ascii="Times New Roman" w:hAnsi="Times New Roman" w:eastAsia="方正仿宋_GBK" w:cs="Times New Roman"/>
          <w:sz w:val="32"/>
          <w:szCs w:val="32"/>
        </w:rPr>
        <w:t>280.77</w:t>
      </w:r>
      <w:r>
        <w:rPr>
          <w:rFonts w:hint="eastAsia" w:ascii="Times New Roman" w:hAnsi="Times New Roman" w:eastAsia="方正仿宋_GBK" w:cs="方正仿宋_GBK"/>
          <w:sz w:val="32"/>
          <w:szCs w:val="32"/>
        </w:rPr>
        <w:t>万元，与上年相比，减少</w:t>
      </w:r>
      <w:r>
        <w:rPr>
          <w:rFonts w:ascii="Times New Roman" w:hAnsi="Times New Roman" w:eastAsia="方正仿宋_GBK" w:cs="Times New Roman"/>
          <w:sz w:val="32"/>
          <w:szCs w:val="32"/>
        </w:rPr>
        <w:t>150.85</w:t>
      </w:r>
      <w:r>
        <w:rPr>
          <w:rFonts w:hint="eastAsia" w:ascii="Times New Roman" w:hAnsi="Times New Roman" w:eastAsia="方正仿宋_GBK" w:cs="方正仿宋_GBK"/>
          <w:sz w:val="32"/>
          <w:szCs w:val="32"/>
        </w:rPr>
        <w:t>万元</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减少</w:t>
      </w:r>
      <w:r>
        <w:rPr>
          <w:rFonts w:ascii="Times New Roman" w:hAnsi="Times New Roman" w:eastAsia="方正仿宋_GBK" w:cs="Times New Roman"/>
          <w:sz w:val="32"/>
          <w:szCs w:val="32"/>
        </w:rPr>
        <w:t>53%</w:t>
      </w:r>
      <w:r>
        <w:rPr>
          <w:rFonts w:hint="eastAsia" w:ascii="Times New Roman" w:hAnsi="Times New Roman" w:eastAsia="方正仿宋_GBK" w:cs="方正仿宋_GBK"/>
          <w:sz w:val="32"/>
          <w:szCs w:val="32"/>
        </w:rPr>
        <w:t>，主要是因为</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年没有项目收入支出减少</w:t>
      </w:r>
      <w:r>
        <w:rPr>
          <w:rFonts w:ascii="Times New Roman" w:hAnsi="Times New Roman" w:eastAsia="方正仿宋_GBK" w:cs="Times New Roman"/>
          <w:sz w:val="32"/>
          <w:szCs w:val="32"/>
        </w:rPr>
        <w:t>100</w:t>
      </w:r>
      <w:r>
        <w:rPr>
          <w:rFonts w:hint="eastAsia" w:ascii="Times New Roman" w:hAnsi="Times New Roman" w:eastAsia="方正仿宋_GBK" w:cs="方正仿宋_GBK"/>
          <w:sz w:val="32"/>
          <w:szCs w:val="32"/>
        </w:rPr>
        <w:t>万元；且上年结转结余资金</w:t>
      </w:r>
      <w:r>
        <w:rPr>
          <w:rFonts w:ascii="Times New Roman" w:hAnsi="Times New Roman" w:eastAsia="方正仿宋_GBK" w:cs="Times New Roman"/>
          <w:sz w:val="32"/>
          <w:szCs w:val="32"/>
        </w:rPr>
        <w:t>52.53</w:t>
      </w:r>
      <w:r>
        <w:rPr>
          <w:rFonts w:hint="eastAsia" w:ascii="Times New Roman" w:hAnsi="Times New Roman" w:eastAsia="方正仿宋_GBK" w:cs="方正仿宋_GBK"/>
          <w:sz w:val="32"/>
          <w:szCs w:val="32"/>
        </w:rPr>
        <w:t>万元，财政只返回了</w:t>
      </w:r>
      <w:r>
        <w:rPr>
          <w:rFonts w:ascii="Times New Roman" w:hAnsi="Times New Roman" w:eastAsia="方正仿宋_GBK" w:cs="Times New Roman"/>
          <w:sz w:val="32"/>
          <w:szCs w:val="32"/>
        </w:rPr>
        <w:t>4.49</w:t>
      </w:r>
      <w:r>
        <w:rPr>
          <w:rFonts w:hint="eastAsia" w:ascii="Times New Roman" w:hAnsi="Times New Roman" w:eastAsia="方正仿宋_GBK" w:cs="方正仿宋_GBK"/>
          <w:sz w:val="32"/>
          <w:szCs w:val="32"/>
        </w:rPr>
        <w:t>万元。</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五、一般公共预算财政拨款支出决算情况说明</w:t>
      </w:r>
    </w:p>
    <w:p>
      <w:pPr>
        <w:pStyle w:val="10"/>
        <w:autoSpaceDE/>
        <w:autoSpaceDN/>
        <w:adjustRightInd/>
        <w:spacing w:line="600" w:lineRule="exact"/>
        <w:ind w:firstLine="640" w:firstLineChars="200"/>
        <w:jc w:val="both"/>
        <w:outlineLvl w:val="1"/>
        <w:rPr>
          <w:rFonts w:ascii="方正楷体_GBK" w:hAnsi="Times New Roman" w:eastAsia="方正楷体_GBK" w:cs="Times New Roman"/>
          <w:sz w:val="32"/>
          <w:szCs w:val="32"/>
        </w:rPr>
      </w:pPr>
      <w:r>
        <w:rPr>
          <w:rFonts w:hint="eastAsia" w:ascii="方正楷体_GBK" w:hAnsi="Times New Roman" w:eastAsia="方正楷体_GBK" w:cs="方正楷体_GBK"/>
          <w:sz w:val="32"/>
          <w:szCs w:val="32"/>
        </w:rPr>
        <w:t>（一）财政拨款支出决算总体情况</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年度财政拨款支出</w:t>
      </w:r>
      <w:r>
        <w:rPr>
          <w:rFonts w:ascii="Times New Roman" w:hAnsi="Times New Roman" w:eastAsia="方正仿宋_GBK" w:cs="Times New Roman"/>
          <w:sz w:val="32"/>
          <w:szCs w:val="32"/>
        </w:rPr>
        <w:t>229.45</w:t>
      </w:r>
      <w:r>
        <w:rPr>
          <w:rFonts w:hint="eastAsia" w:ascii="Times New Roman" w:hAnsi="Times New Roman" w:eastAsia="方正仿宋_GBK" w:cs="方正仿宋_GBK"/>
          <w:sz w:val="32"/>
          <w:szCs w:val="32"/>
        </w:rPr>
        <w:t>万元，占本年支出合计的</w:t>
      </w:r>
      <w:r>
        <w:rPr>
          <w:rFonts w:ascii="Times New Roman" w:hAnsi="Times New Roman" w:eastAsia="方正仿宋_GBK" w:cs="Times New Roman"/>
          <w:sz w:val="32"/>
          <w:szCs w:val="32"/>
        </w:rPr>
        <w:t>82%</w:t>
      </w:r>
      <w:r>
        <w:rPr>
          <w:rFonts w:hint="eastAsia" w:ascii="Times New Roman" w:hAnsi="Times New Roman" w:eastAsia="方正仿宋_GBK" w:cs="方正仿宋_GBK"/>
          <w:sz w:val="32"/>
          <w:szCs w:val="32"/>
        </w:rPr>
        <w:t>，与上年相比，财政拨款支出减少</w:t>
      </w:r>
      <w:r>
        <w:rPr>
          <w:rFonts w:ascii="Times New Roman" w:hAnsi="Times New Roman" w:eastAsia="方正仿宋_GBK" w:cs="Times New Roman"/>
          <w:sz w:val="32"/>
          <w:szCs w:val="32"/>
        </w:rPr>
        <w:t>49.21</w:t>
      </w:r>
      <w:r>
        <w:rPr>
          <w:rFonts w:hint="eastAsia" w:ascii="Times New Roman" w:hAnsi="Times New Roman" w:eastAsia="方正仿宋_GBK" w:cs="方正仿宋_GBK"/>
          <w:sz w:val="32"/>
          <w:szCs w:val="32"/>
        </w:rPr>
        <w:t>万元，减少</w:t>
      </w:r>
      <w:r>
        <w:rPr>
          <w:rFonts w:ascii="Times New Roman" w:hAnsi="Times New Roman" w:eastAsia="方正仿宋_GBK" w:cs="Times New Roman"/>
          <w:sz w:val="32"/>
          <w:szCs w:val="32"/>
        </w:rPr>
        <w:t>20%</w:t>
      </w:r>
      <w:r>
        <w:rPr>
          <w:rFonts w:hint="eastAsia" w:ascii="Times New Roman" w:hAnsi="Times New Roman" w:eastAsia="方正仿宋_GBK" w:cs="方正仿宋_GBK"/>
          <w:sz w:val="32"/>
          <w:szCs w:val="32"/>
        </w:rPr>
        <w:t>，主要是因为</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年调出人员二名，工资性支出减少。</w:t>
      </w:r>
    </w:p>
    <w:p>
      <w:pPr>
        <w:pStyle w:val="10"/>
        <w:autoSpaceDE/>
        <w:autoSpaceDN/>
        <w:adjustRightInd/>
        <w:spacing w:line="600" w:lineRule="exact"/>
        <w:ind w:firstLine="640" w:firstLineChars="200"/>
        <w:jc w:val="both"/>
        <w:outlineLvl w:val="1"/>
        <w:rPr>
          <w:rFonts w:ascii="方正楷体_GBK" w:hAnsi="Times New Roman" w:eastAsia="方正楷体_GBK" w:cs="Times New Roman"/>
          <w:sz w:val="32"/>
          <w:szCs w:val="32"/>
        </w:rPr>
      </w:pPr>
      <w:r>
        <w:rPr>
          <w:rFonts w:hint="eastAsia" w:ascii="方正楷体_GBK" w:hAnsi="Times New Roman" w:eastAsia="方正楷体_GBK" w:cs="方正楷体_GBK"/>
          <w:sz w:val="32"/>
          <w:szCs w:val="32"/>
        </w:rPr>
        <w:t>（二）财政拨款支出决算结构情况</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年度财政拨款支出</w:t>
      </w:r>
      <w:r>
        <w:rPr>
          <w:rFonts w:ascii="Times New Roman" w:hAnsi="Times New Roman" w:eastAsia="方正仿宋_GBK" w:cs="Times New Roman"/>
          <w:sz w:val="32"/>
          <w:szCs w:val="32"/>
        </w:rPr>
        <w:t>229.45</w:t>
      </w:r>
      <w:r>
        <w:rPr>
          <w:rFonts w:hint="eastAsia" w:ascii="Times New Roman" w:hAnsi="Times New Roman" w:eastAsia="方正仿宋_GBK" w:cs="方正仿宋_GBK"/>
          <w:sz w:val="32"/>
          <w:szCs w:val="32"/>
        </w:rPr>
        <w:t>万元，主要用于以下方面：一般公共服务（类）支出</w:t>
      </w:r>
      <w:r>
        <w:rPr>
          <w:rFonts w:ascii="Times New Roman" w:hAnsi="Times New Roman" w:eastAsia="方正仿宋_GBK" w:cs="Times New Roman"/>
          <w:sz w:val="32"/>
          <w:szCs w:val="32"/>
        </w:rPr>
        <w:t>194.41</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85%</w:t>
      </w:r>
      <w:r>
        <w:rPr>
          <w:rFonts w:hint="eastAsia" w:ascii="Times New Roman" w:hAnsi="Times New Roman" w:eastAsia="方正仿宋_GBK" w:cs="方正仿宋_GBK"/>
          <w:sz w:val="32"/>
          <w:szCs w:val="32"/>
        </w:rPr>
        <w:t>；教育（类）支出</w:t>
      </w:r>
      <w:r>
        <w:rPr>
          <w:rFonts w:ascii="Times New Roman" w:hAnsi="Times New Roman" w:eastAsia="方正仿宋_GBK" w:cs="Times New Roman"/>
          <w:sz w:val="32"/>
          <w:szCs w:val="32"/>
        </w:rPr>
        <w:t>2.06</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0.9%</w:t>
      </w:r>
      <w:r>
        <w:rPr>
          <w:rFonts w:hint="eastAsia" w:ascii="Times New Roman" w:hAnsi="Times New Roman" w:eastAsia="方正仿宋_GBK" w:cs="方正仿宋_GBK"/>
          <w:sz w:val="32"/>
          <w:szCs w:val="32"/>
        </w:rPr>
        <w:t>；社会保障和就业</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类</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支出</w:t>
      </w:r>
      <w:r>
        <w:rPr>
          <w:rFonts w:ascii="Times New Roman" w:hAnsi="Times New Roman" w:eastAsia="方正仿宋_GBK" w:cs="Times New Roman"/>
          <w:sz w:val="32"/>
          <w:szCs w:val="32"/>
        </w:rPr>
        <w:t>17.22</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7.5%</w:t>
      </w:r>
      <w:r>
        <w:rPr>
          <w:rFonts w:hint="eastAsia" w:ascii="Times New Roman" w:hAnsi="Times New Roman" w:eastAsia="方正仿宋_GBK" w:cs="方正仿宋_GBK"/>
          <w:sz w:val="32"/>
          <w:szCs w:val="32"/>
        </w:rPr>
        <w:t>；住房保障（类）支出</w:t>
      </w:r>
      <w:r>
        <w:rPr>
          <w:rFonts w:ascii="Times New Roman" w:hAnsi="Times New Roman" w:eastAsia="方正仿宋_GBK" w:cs="Times New Roman"/>
          <w:sz w:val="32"/>
          <w:szCs w:val="32"/>
        </w:rPr>
        <w:t>15.76</w:t>
      </w:r>
      <w:r>
        <w:rPr>
          <w:rFonts w:hint="eastAsia" w:ascii="Times New Roman" w:hAnsi="Times New Roman" w:eastAsia="方正仿宋_GBK" w:cs="方正仿宋_GBK"/>
          <w:sz w:val="32"/>
          <w:szCs w:val="32"/>
        </w:rPr>
        <w:t>万元，占</w:t>
      </w:r>
      <w:r>
        <w:rPr>
          <w:rFonts w:ascii="Times New Roman" w:hAnsi="Times New Roman" w:eastAsia="方正仿宋_GBK" w:cs="Times New Roman"/>
          <w:sz w:val="32"/>
          <w:szCs w:val="32"/>
        </w:rPr>
        <w:t>6.9%</w:t>
      </w:r>
      <w:r>
        <w:rPr>
          <w:rFonts w:hint="eastAsia" w:ascii="Times New Roman" w:hAnsi="Times New Roman" w:eastAsia="方正仿宋_GBK" w:cs="方正仿宋_GBK"/>
          <w:i/>
          <w:iCs/>
          <w:sz w:val="32"/>
          <w:szCs w:val="32"/>
        </w:rPr>
        <w:t>。</w:t>
      </w:r>
    </w:p>
    <w:p>
      <w:pPr>
        <w:pStyle w:val="10"/>
        <w:autoSpaceDE/>
        <w:autoSpaceDN/>
        <w:adjustRightInd/>
        <w:spacing w:line="600" w:lineRule="exact"/>
        <w:ind w:firstLine="640" w:firstLineChars="200"/>
        <w:jc w:val="both"/>
        <w:outlineLvl w:val="1"/>
        <w:rPr>
          <w:rFonts w:ascii="方正楷体_GBK" w:hAnsi="Times New Roman" w:eastAsia="方正楷体_GBK" w:cs="Times New Roman"/>
          <w:sz w:val="32"/>
          <w:szCs w:val="32"/>
        </w:rPr>
      </w:pPr>
      <w:r>
        <w:rPr>
          <w:rFonts w:hint="eastAsia" w:ascii="方正楷体_GBK" w:hAnsi="Times New Roman" w:eastAsia="方正楷体_GBK" w:cs="方正楷体_GBK"/>
          <w:sz w:val="32"/>
          <w:szCs w:val="32"/>
        </w:rPr>
        <w:t>（三）财政拨款支出决算具体情况</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年度财政拨款支出年初预算数为</w:t>
      </w:r>
      <w:r>
        <w:rPr>
          <w:rFonts w:ascii="Times New Roman" w:hAnsi="Times New Roman" w:eastAsia="方正仿宋_GBK" w:cs="Times New Roman"/>
          <w:sz w:val="32"/>
          <w:szCs w:val="32"/>
        </w:rPr>
        <w:t>305.29</w:t>
      </w:r>
      <w:r>
        <w:rPr>
          <w:rFonts w:hint="eastAsia" w:ascii="Times New Roman" w:hAnsi="Times New Roman" w:eastAsia="方正仿宋_GBK" w:cs="方正仿宋_GBK"/>
          <w:sz w:val="32"/>
          <w:szCs w:val="32"/>
        </w:rPr>
        <w:t>万元，支出决算数为</w:t>
      </w:r>
      <w:r>
        <w:rPr>
          <w:rFonts w:ascii="Times New Roman" w:hAnsi="Times New Roman" w:eastAsia="方正仿宋_GBK" w:cs="Times New Roman"/>
          <w:sz w:val="32"/>
          <w:szCs w:val="32"/>
        </w:rPr>
        <w:t>229.45</w:t>
      </w:r>
      <w:r>
        <w:rPr>
          <w:rFonts w:hint="eastAsia" w:ascii="Times New Roman" w:hAnsi="Times New Roman" w:eastAsia="方正仿宋_GBK" w:cs="方正仿宋_GBK"/>
          <w:sz w:val="32"/>
          <w:szCs w:val="32"/>
        </w:rPr>
        <w:t>万元，完成年初预算的</w:t>
      </w:r>
      <w:r>
        <w:rPr>
          <w:rFonts w:ascii="Times New Roman" w:hAnsi="Times New Roman" w:eastAsia="方正仿宋_GBK" w:cs="Times New Roman"/>
          <w:sz w:val="32"/>
          <w:szCs w:val="32"/>
        </w:rPr>
        <w:t>75%</w:t>
      </w:r>
      <w:r>
        <w:rPr>
          <w:rFonts w:hint="eastAsia" w:ascii="Times New Roman" w:hAnsi="Times New Roman" w:eastAsia="方正仿宋_GBK" w:cs="方正仿宋_GBK"/>
          <w:sz w:val="32"/>
          <w:szCs w:val="32"/>
        </w:rPr>
        <w:t>，其中：</w:t>
      </w:r>
    </w:p>
    <w:p>
      <w:pPr>
        <w:pStyle w:val="10"/>
        <w:autoSpaceDE/>
        <w:autoSpaceDN/>
        <w:adjustRightInd/>
        <w:spacing w:line="600"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．一般公共服务（类）支出</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年初预算为</w:t>
      </w:r>
      <w:r>
        <w:rPr>
          <w:rFonts w:ascii="Times New Roman" w:hAnsi="Times New Roman" w:eastAsia="方正仿宋_GBK" w:cs="Times New Roman"/>
          <w:sz w:val="32"/>
          <w:szCs w:val="32"/>
        </w:rPr>
        <w:t>252.09</w:t>
      </w:r>
      <w:r>
        <w:rPr>
          <w:rFonts w:hint="eastAsia" w:ascii="Times New Roman" w:hAnsi="Times New Roman" w:eastAsia="方正仿宋_GBK" w:cs="方正仿宋_GBK"/>
          <w:sz w:val="32"/>
          <w:szCs w:val="32"/>
        </w:rPr>
        <w:t>万元，支出决算为</w:t>
      </w:r>
      <w:r>
        <w:rPr>
          <w:rFonts w:ascii="Times New Roman" w:hAnsi="Times New Roman" w:eastAsia="方正仿宋_GBK" w:cs="Times New Roman"/>
          <w:sz w:val="32"/>
          <w:szCs w:val="32"/>
        </w:rPr>
        <w:t>194.41</w:t>
      </w:r>
      <w:r>
        <w:rPr>
          <w:rFonts w:hint="eastAsia" w:ascii="Times New Roman" w:hAnsi="Times New Roman" w:eastAsia="方正仿宋_GBK" w:cs="方正仿宋_GBK"/>
          <w:sz w:val="32"/>
          <w:szCs w:val="32"/>
        </w:rPr>
        <w:t>万元，完成年初预算的</w:t>
      </w:r>
      <w:r>
        <w:rPr>
          <w:rFonts w:ascii="Times New Roman" w:hAnsi="Times New Roman" w:eastAsia="方正仿宋_GBK" w:cs="Times New Roman"/>
          <w:sz w:val="32"/>
          <w:szCs w:val="32"/>
        </w:rPr>
        <w:t>77%</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．教育（类）支出</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年初预算为</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万元，支出决算为</w:t>
      </w:r>
      <w:r>
        <w:rPr>
          <w:rFonts w:ascii="Times New Roman" w:hAnsi="Times New Roman" w:eastAsia="方正仿宋_GBK" w:cs="Times New Roman"/>
          <w:sz w:val="32"/>
          <w:szCs w:val="32"/>
        </w:rPr>
        <w:t>2.06</w:t>
      </w:r>
      <w:r>
        <w:rPr>
          <w:rFonts w:hint="eastAsia" w:ascii="Times New Roman" w:hAnsi="Times New Roman" w:eastAsia="方正仿宋_GBK" w:cs="方正仿宋_GBK"/>
          <w:sz w:val="32"/>
          <w:szCs w:val="32"/>
        </w:rPr>
        <w:t>万元，完成年初预算的</w:t>
      </w:r>
      <w:r>
        <w:rPr>
          <w:rFonts w:ascii="Times New Roman" w:hAnsi="Times New Roman" w:eastAsia="方正仿宋_GBK" w:cs="Times New Roman"/>
          <w:sz w:val="32"/>
          <w:szCs w:val="32"/>
        </w:rPr>
        <w:t>41%</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．社会保障和就业（类）支出</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年初预算为</w:t>
      </w:r>
      <w:r>
        <w:rPr>
          <w:rFonts w:ascii="Times New Roman" w:hAnsi="Times New Roman" w:eastAsia="方正仿宋_GBK" w:cs="Times New Roman"/>
          <w:sz w:val="32"/>
          <w:szCs w:val="32"/>
        </w:rPr>
        <w:t>28</w:t>
      </w:r>
      <w:r>
        <w:rPr>
          <w:rFonts w:hint="eastAsia" w:ascii="Times New Roman" w:hAnsi="Times New Roman" w:eastAsia="方正仿宋_GBK" w:cs="方正仿宋_GBK"/>
          <w:sz w:val="32"/>
          <w:szCs w:val="32"/>
        </w:rPr>
        <w:t>万元，支出决算为</w:t>
      </w:r>
      <w:r>
        <w:rPr>
          <w:rFonts w:ascii="Times New Roman" w:hAnsi="Times New Roman" w:eastAsia="方正仿宋_GBK" w:cs="Times New Roman"/>
          <w:sz w:val="32"/>
          <w:szCs w:val="32"/>
        </w:rPr>
        <w:t>17.29</w:t>
      </w:r>
      <w:r>
        <w:rPr>
          <w:rFonts w:hint="eastAsia" w:ascii="Times New Roman" w:hAnsi="Times New Roman" w:eastAsia="方正仿宋_GBK" w:cs="方正仿宋_GBK"/>
          <w:sz w:val="32"/>
          <w:szCs w:val="32"/>
        </w:rPr>
        <w:t>万元，完成年初预算的</w:t>
      </w:r>
      <w:r>
        <w:rPr>
          <w:rFonts w:ascii="Times New Roman" w:hAnsi="Times New Roman" w:eastAsia="方正仿宋_GBK" w:cs="Times New Roman"/>
          <w:sz w:val="32"/>
          <w:szCs w:val="32"/>
        </w:rPr>
        <w:t>62%</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．住房保障（类）支出</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年初预算为</w:t>
      </w:r>
      <w:r>
        <w:rPr>
          <w:rFonts w:ascii="Times New Roman" w:hAnsi="Times New Roman" w:eastAsia="方正仿宋_GBK" w:cs="Times New Roman"/>
          <w:sz w:val="32"/>
          <w:szCs w:val="32"/>
        </w:rPr>
        <w:t>20.2</w:t>
      </w:r>
      <w:r>
        <w:rPr>
          <w:rFonts w:hint="eastAsia" w:ascii="Times New Roman" w:hAnsi="Times New Roman" w:eastAsia="方正仿宋_GBK" w:cs="方正仿宋_GBK"/>
          <w:sz w:val="32"/>
          <w:szCs w:val="32"/>
        </w:rPr>
        <w:t>万元，支出决算为</w:t>
      </w:r>
      <w:r>
        <w:rPr>
          <w:rFonts w:ascii="Times New Roman" w:hAnsi="Times New Roman" w:eastAsia="方正仿宋_GBK" w:cs="Times New Roman"/>
          <w:sz w:val="32"/>
          <w:szCs w:val="32"/>
        </w:rPr>
        <w:t>15.76</w:t>
      </w:r>
      <w:r>
        <w:rPr>
          <w:rFonts w:hint="eastAsia" w:ascii="Times New Roman" w:hAnsi="Times New Roman" w:eastAsia="方正仿宋_GBK" w:cs="方正仿宋_GBK"/>
          <w:sz w:val="32"/>
          <w:szCs w:val="32"/>
        </w:rPr>
        <w:t>万元，完成年初预算的</w:t>
      </w:r>
      <w:r>
        <w:rPr>
          <w:rFonts w:ascii="Times New Roman" w:hAnsi="Times New Roman" w:eastAsia="方正仿宋_GBK" w:cs="Times New Roman"/>
          <w:sz w:val="32"/>
          <w:szCs w:val="32"/>
        </w:rPr>
        <w:t>78%</w:t>
      </w:r>
      <w:r>
        <w:rPr>
          <w:rFonts w:hint="eastAsia" w:ascii="Times New Roman" w:hAnsi="Times New Roman" w:eastAsia="方正仿宋_GBK" w:cs="方正仿宋_GBK"/>
          <w:sz w:val="32"/>
          <w:szCs w:val="32"/>
        </w:rPr>
        <w:t>。</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六、一般公共预算财政拨款基本支出决算情况说明</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年度财政拨款基本支出</w:t>
      </w:r>
      <w:r>
        <w:rPr>
          <w:rFonts w:ascii="Times New Roman" w:hAnsi="Times New Roman" w:eastAsia="方正仿宋_GBK" w:cs="Times New Roman"/>
          <w:sz w:val="32"/>
          <w:szCs w:val="32"/>
        </w:rPr>
        <w:t>228.51</w:t>
      </w:r>
      <w:r>
        <w:rPr>
          <w:rFonts w:hint="eastAsia" w:ascii="Times New Roman" w:hAnsi="Times New Roman" w:eastAsia="方正仿宋_GBK" w:cs="方正仿宋_GBK"/>
          <w:sz w:val="32"/>
          <w:szCs w:val="32"/>
        </w:rPr>
        <w:t>万元，其中：人员经费</w:t>
      </w:r>
      <w:r>
        <w:rPr>
          <w:rFonts w:ascii="Times New Roman" w:hAnsi="Times New Roman" w:eastAsia="方正仿宋_GBK" w:cs="Times New Roman"/>
          <w:sz w:val="32"/>
          <w:szCs w:val="32"/>
        </w:rPr>
        <w:t>128.36</w:t>
      </w:r>
      <w:r>
        <w:rPr>
          <w:rFonts w:hint="eastAsia" w:ascii="Times New Roman" w:hAnsi="Times New Roman" w:eastAsia="方正仿宋_GBK" w:cs="方正仿宋_GBK"/>
          <w:sz w:val="32"/>
          <w:szCs w:val="32"/>
        </w:rPr>
        <w:t>万元，占基本支出的</w:t>
      </w:r>
      <w:r>
        <w:rPr>
          <w:rFonts w:ascii="Times New Roman" w:hAnsi="Times New Roman" w:eastAsia="方正仿宋_GBK" w:cs="Times New Roman"/>
          <w:sz w:val="32"/>
          <w:szCs w:val="32"/>
        </w:rPr>
        <w:t>56%,</w:t>
      </w:r>
      <w:r>
        <w:rPr>
          <w:rFonts w:hint="eastAsia" w:ascii="Times New Roman" w:hAnsi="Times New Roman" w:eastAsia="方正仿宋_GBK" w:cs="方正仿宋_GBK"/>
          <w:sz w:val="32"/>
          <w:szCs w:val="32"/>
        </w:rPr>
        <w:t>主要包括基本工资、津贴补贴、奖金、伙食补助费……；公用经费</w:t>
      </w:r>
      <w:r>
        <w:rPr>
          <w:rFonts w:ascii="Times New Roman" w:hAnsi="Times New Roman" w:eastAsia="方正仿宋_GBK" w:cs="Times New Roman"/>
          <w:sz w:val="32"/>
          <w:szCs w:val="32"/>
        </w:rPr>
        <w:t>100.15</w:t>
      </w:r>
      <w:r>
        <w:rPr>
          <w:rFonts w:hint="eastAsia" w:ascii="Times New Roman" w:hAnsi="Times New Roman" w:eastAsia="方正仿宋_GBK" w:cs="方正仿宋_GBK"/>
          <w:sz w:val="32"/>
          <w:szCs w:val="32"/>
        </w:rPr>
        <w:t>万元，占基本支出的</w:t>
      </w:r>
      <w:r>
        <w:rPr>
          <w:rFonts w:ascii="Times New Roman" w:hAnsi="Times New Roman" w:eastAsia="方正仿宋_GBK" w:cs="Times New Roman"/>
          <w:sz w:val="32"/>
          <w:szCs w:val="32"/>
        </w:rPr>
        <w:t>44%</w:t>
      </w:r>
      <w:r>
        <w:rPr>
          <w:rFonts w:hint="eastAsia" w:ascii="Times New Roman" w:hAnsi="Times New Roman" w:eastAsia="方正仿宋_GBK" w:cs="方正仿宋_GBK"/>
          <w:sz w:val="32"/>
          <w:szCs w:val="32"/>
        </w:rPr>
        <w:t>，主要包括办公费、印刷费、咨询费、手续费……。</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color w:val="000000" w:themeColor="text1"/>
          <w:sz w:val="32"/>
          <w:szCs w:val="32"/>
        </w:rPr>
      </w:pPr>
      <w:r>
        <w:rPr>
          <w:rFonts w:hint="eastAsia" w:ascii="方正黑体_GBK" w:hAnsi="Times New Roman" w:eastAsia="方正黑体_GBK" w:cs="方正黑体_GBK"/>
          <w:color w:val="000000" w:themeColor="text1"/>
          <w:sz w:val="32"/>
          <w:szCs w:val="32"/>
        </w:rPr>
        <w:t>七、一般公共预算财政拨款三公经费支出决算情况说明</w:t>
      </w:r>
    </w:p>
    <w:p>
      <w:pPr>
        <w:pStyle w:val="10"/>
        <w:autoSpaceDE/>
        <w:autoSpaceDN/>
        <w:adjustRightInd/>
        <w:spacing w:line="600" w:lineRule="exact"/>
        <w:ind w:firstLine="640" w:firstLineChars="200"/>
        <w:jc w:val="both"/>
        <w:outlineLvl w:val="1"/>
        <w:rPr>
          <w:rFonts w:ascii="方正楷体_GBK" w:hAnsi="Times New Roman" w:eastAsia="方正楷体_GBK" w:cs="Times New Roman"/>
          <w:color w:val="000000" w:themeColor="text1"/>
          <w:sz w:val="32"/>
          <w:szCs w:val="32"/>
        </w:rPr>
      </w:pPr>
      <w:r>
        <w:rPr>
          <w:rFonts w:hint="eastAsia" w:ascii="方正楷体_GBK" w:hAnsi="Times New Roman" w:eastAsia="方正楷体_GBK" w:cs="方正楷体_GBK"/>
          <w:color w:val="000000" w:themeColor="text1"/>
          <w:sz w:val="32"/>
          <w:szCs w:val="32"/>
        </w:rPr>
        <w:t>（一）“三公”经费财政拨款支出决算总体情况说明</w:t>
      </w:r>
    </w:p>
    <w:p>
      <w:pPr>
        <w:pStyle w:val="10"/>
        <w:autoSpaceDE/>
        <w:autoSpaceDN/>
        <w:adjustRightInd/>
        <w:spacing w:line="60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方正仿宋_GBK"/>
          <w:color w:val="000000" w:themeColor="text1"/>
          <w:sz w:val="32"/>
          <w:szCs w:val="32"/>
        </w:rPr>
        <w:t>“三公”经费财政拨款支出</w:t>
      </w:r>
      <w:r>
        <w:rPr>
          <w:rFonts w:hint="eastAsia" w:ascii="Times New Roman" w:hAnsi="Times New Roman" w:eastAsia="方正仿宋_GBK" w:cs="方正仿宋_GBK"/>
          <w:color w:val="000000" w:themeColor="text1"/>
          <w:sz w:val="32"/>
          <w:szCs w:val="32"/>
          <w:lang w:eastAsia="zh-CN"/>
        </w:rPr>
        <w:t>预算为</w:t>
      </w:r>
      <w:r>
        <w:rPr>
          <w:rFonts w:hint="eastAsia" w:ascii="Times New Roman" w:hAnsi="Times New Roman" w:eastAsia="方正仿宋_GBK" w:cs="方正仿宋_GBK"/>
          <w:color w:val="000000" w:themeColor="text1"/>
          <w:sz w:val="32"/>
          <w:szCs w:val="32"/>
          <w:lang w:val="en-US" w:eastAsia="zh-CN"/>
        </w:rPr>
        <w:t>0.99万元,支出</w:t>
      </w:r>
      <w:r>
        <w:rPr>
          <w:rFonts w:hint="eastAsia" w:ascii="Times New Roman" w:hAnsi="Times New Roman" w:eastAsia="方正仿宋_GBK" w:cs="方正仿宋_GBK"/>
          <w:color w:val="000000" w:themeColor="text1"/>
          <w:sz w:val="32"/>
          <w:szCs w:val="32"/>
        </w:rPr>
        <w:t>决算为</w:t>
      </w:r>
      <w:r>
        <w:rPr>
          <w:rFonts w:ascii="Times New Roman" w:hAnsi="Times New Roman" w:eastAsia="方正仿宋_GBK" w:cs="Times New Roman"/>
          <w:color w:val="000000" w:themeColor="text1"/>
          <w:sz w:val="32"/>
          <w:szCs w:val="32"/>
        </w:rPr>
        <w:t>0.99</w:t>
      </w:r>
      <w:r>
        <w:rPr>
          <w:rFonts w:hint="eastAsia" w:ascii="Times New Roman" w:hAnsi="Times New Roman" w:eastAsia="方正仿宋_GBK" w:cs="方正仿宋_GBK"/>
          <w:color w:val="000000" w:themeColor="text1"/>
          <w:sz w:val="32"/>
          <w:szCs w:val="32"/>
        </w:rPr>
        <w:t>万元，完成预算的</w:t>
      </w:r>
      <w:r>
        <w:rPr>
          <w:rFonts w:hint="eastAsia" w:ascii="Times New Roman" w:hAnsi="Times New Roman" w:eastAsia="方正仿宋_GBK" w:cs="方正仿宋_GBK"/>
          <w:color w:val="000000" w:themeColor="text1"/>
          <w:sz w:val="32"/>
          <w:szCs w:val="32"/>
          <w:lang w:val="en-US" w:eastAsia="zh-CN"/>
        </w:rPr>
        <w:t>100</w:t>
      </w:r>
      <w:r>
        <w:rPr>
          <w:rFonts w:hint="eastAsia" w:ascii="Times New Roman" w:hAnsi="Times New Roman" w:eastAsia="方正仿宋_GBK" w:cs="方正仿宋_GBK"/>
          <w:color w:val="000000" w:themeColor="text1"/>
          <w:sz w:val="32"/>
          <w:szCs w:val="32"/>
        </w:rPr>
        <w:t>%，其中：因公出国（境）费支出预算为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万元，支出决算为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万元，完成预算的</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w:t>
      </w:r>
    </w:p>
    <w:p>
      <w:pPr>
        <w:pStyle w:val="10"/>
        <w:autoSpaceDE/>
        <w:autoSpaceDN/>
        <w:adjustRightInd/>
        <w:spacing w:line="60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方正仿宋_GBK"/>
          <w:color w:val="000000" w:themeColor="text1"/>
          <w:sz w:val="32"/>
          <w:szCs w:val="32"/>
        </w:rPr>
        <w:t>公务接待费支出</w:t>
      </w:r>
      <w:r>
        <w:rPr>
          <w:rFonts w:hint="eastAsia" w:ascii="Times New Roman" w:hAnsi="Times New Roman" w:eastAsia="方正仿宋_GBK" w:cs="方正仿宋_GBK"/>
          <w:color w:val="000000" w:themeColor="text1"/>
          <w:sz w:val="32"/>
          <w:szCs w:val="32"/>
          <w:lang w:eastAsia="zh-CN"/>
        </w:rPr>
        <w:t>预算为</w:t>
      </w:r>
      <w:r>
        <w:rPr>
          <w:rFonts w:hint="eastAsia" w:ascii="Times New Roman" w:hAnsi="Times New Roman" w:eastAsia="方正仿宋_GBK" w:cs="方正仿宋_GBK"/>
          <w:color w:val="000000" w:themeColor="text1"/>
          <w:sz w:val="32"/>
          <w:szCs w:val="32"/>
          <w:lang w:val="en-US" w:eastAsia="zh-CN"/>
        </w:rPr>
        <w:t>0.99万元，支出</w:t>
      </w:r>
      <w:r>
        <w:rPr>
          <w:rFonts w:hint="eastAsia" w:ascii="Times New Roman" w:hAnsi="Times New Roman" w:eastAsia="方正仿宋_GBK" w:cs="方正仿宋_GBK"/>
          <w:color w:val="000000" w:themeColor="text1"/>
          <w:sz w:val="32"/>
          <w:szCs w:val="32"/>
        </w:rPr>
        <w:t>决算</w:t>
      </w:r>
      <w:r>
        <w:rPr>
          <w:rFonts w:ascii="Times New Roman" w:hAnsi="Times New Roman" w:eastAsia="方正仿宋_GBK" w:cs="Times New Roman"/>
          <w:color w:val="000000" w:themeColor="text1"/>
          <w:sz w:val="32"/>
          <w:szCs w:val="32"/>
        </w:rPr>
        <w:t>0.99</w:t>
      </w:r>
      <w:r>
        <w:rPr>
          <w:rFonts w:hint="eastAsia" w:ascii="Times New Roman" w:hAnsi="Times New Roman" w:eastAsia="方正仿宋_GBK" w:cs="方正仿宋_GBK"/>
          <w:color w:val="000000" w:themeColor="text1"/>
          <w:sz w:val="32"/>
          <w:szCs w:val="32"/>
        </w:rPr>
        <w:t>万元，完成预算的</w:t>
      </w:r>
      <w:r>
        <w:rPr>
          <w:rFonts w:hint="eastAsia" w:ascii="Times New Roman" w:hAnsi="Times New Roman" w:eastAsia="方正仿宋_GBK" w:cs="方正仿宋_GBK"/>
          <w:color w:val="000000" w:themeColor="text1"/>
          <w:sz w:val="32"/>
          <w:szCs w:val="32"/>
          <w:lang w:val="en-US" w:eastAsia="zh-CN"/>
        </w:rPr>
        <w:t>100</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方正仿宋_GBK"/>
          <w:color w:val="000000" w:themeColor="text1"/>
          <w:sz w:val="32"/>
          <w:szCs w:val="32"/>
        </w:rPr>
        <w:t>，与上年相比增加</w:t>
      </w:r>
      <w:r>
        <w:rPr>
          <w:rFonts w:ascii="Times New Roman" w:hAnsi="Times New Roman" w:eastAsia="方正仿宋_GBK" w:cs="Times New Roman"/>
          <w:color w:val="000000" w:themeColor="text1"/>
          <w:sz w:val="32"/>
          <w:szCs w:val="32"/>
        </w:rPr>
        <w:t>0.99</w:t>
      </w:r>
      <w:r>
        <w:rPr>
          <w:rFonts w:hint="eastAsia" w:ascii="Times New Roman" w:hAnsi="Times New Roman" w:eastAsia="方正仿宋_GBK" w:cs="方正仿宋_GBK"/>
          <w:color w:val="000000" w:themeColor="text1"/>
          <w:sz w:val="32"/>
          <w:szCs w:val="32"/>
        </w:rPr>
        <w:t>万元，增长的主要原因是</w:t>
      </w:r>
      <w:r>
        <w:rPr>
          <w:rFonts w:ascii="Times New Roman" w:hAnsi="Times New Roman" w:eastAsia="方正仿宋_GBK" w:cs="Times New Roman"/>
          <w:color w:val="000000" w:themeColor="text1"/>
          <w:sz w:val="32"/>
          <w:szCs w:val="32"/>
        </w:rPr>
        <w:t>2019</w:t>
      </w:r>
      <w:r>
        <w:rPr>
          <w:rFonts w:hint="eastAsia" w:ascii="Times New Roman" w:hAnsi="Times New Roman" w:eastAsia="方正仿宋_GBK" w:cs="方正仿宋_GBK"/>
          <w:color w:val="000000" w:themeColor="text1"/>
          <w:sz w:val="32"/>
          <w:szCs w:val="32"/>
        </w:rPr>
        <w:t>年因机构改革，公务接待费没有形成支出。</w:t>
      </w:r>
    </w:p>
    <w:p>
      <w:pPr>
        <w:pStyle w:val="10"/>
        <w:autoSpaceDE/>
        <w:autoSpaceDN/>
        <w:adjustRightInd/>
        <w:spacing w:line="60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方正仿宋_GBK"/>
          <w:color w:val="000000" w:themeColor="text1"/>
          <w:sz w:val="32"/>
          <w:szCs w:val="32"/>
        </w:rPr>
        <w:t>公务用车购置费及运行维护费支出预算为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万元，支出决算为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万元，完成预算的</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w:t>
      </w:r>
    </w:p>
    <w:p>
      <w:pPr>
        <w:pStyle w:val="10"/>
        <w:autoSpaceDE/>
        <w:autoSpaceDN/>
        <w:adjustRightInd/>
        <w:spacing w:line="600" w:lineRule="exact"/>
        <w:ind w:firstLine="640" w:firstLineChars="200"/>
        <w:jc w:val="both"/>
        <w:outlineLvl w:val="1"/>
        <w:rPr>
          <w:rFonts w:ascii="方正楷体_GBK" w:hAnsi="Times New Roman" w:eastAsia="方正楷体_GBK" w:cs="Times New Roman"/>
          <w:color w:val="000000" w:themeColor="text1"/>
          <w:sz w:val="32"/>
          <w:szCs w:val="32"/>
        </w:rPr>
      </w:pPr>
      <w:r>
        <w:rPr>
          <w:rFonts w:hint="eastAsia" w:ascii="方正楷体_GBK" w:hAnsi="Times New Roman" w:eastAsia="方正楷体_GBK" w:cs="方正楷体_GBK"/>
          <w:color w:val="000000" w:themeColor="text1"/>
          <w:sz w:val="32"/>
          <w:szCs w:val="32"/>
        </w:rPr>
        <w:t>（二）“三公”经费财政拨款支出决算具体情况说明</w:t>
      </w:r>
    </w:p>
    <w:p>
      <w:pPr>
        <w:pStyle w:val="10"/>
        <w:autoSpaceDE/>
        <w:autoSpaceDN/>
        <w:adjustRightInd/>
        <w:spacing w:line="60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2020</w:t>
      </w:r>
      <w:r>
        <w:rPr>
          <w:rFonts w:hint="eastAsia" w:ascii="Times New Roman" w:hAnsi="Times New Roman" w:eastAsia="方正仿宋_GBK" w:cs="方正仿宋_GBK"/>
          <w:color w:val="000000" w:themeColor="text1"/>
          <w:sz w:val="32"/>
          <w:szCs w:val="32"/>
        </w:rPr>
        <w:t>年度“三公”经费财政拨款支出决算中，公务接待费支出</w:t>
      </w:r>
      <w:r>
        <w:rPr>
          <w:rFonts w:hint="eastAsia" w:ascii="Times New Roman" w:hAnsi="Times New Roman" w:eastAsia="方正仿宋_GBK" w:cs="方正仿宋_GBK"/>
          <w:color w:val="000000" w:themeColor="text1"/>
          <w:sz w:val="32"/>
          <w:szCs w:val="32"/>
          <w:lang w:eastAsia="zh-CN"/>
        </w:rPr>
        <w:t>预算为</w:t>
      </w:r>
      <w:r>
        <w:rPr>
          <w:rFonts w:hint="eastAsia" w:ascii="Times New Roman" w:hAnsi="Times New Roman" w:eastAsia="方正仿宋_GBK" w:cs="方正仿宋_GBK"/>
          <w:color w:val="000000" w:themeColor="text1"/>
          <w:sz w:val="32"/>
          <w:szCs w:val="32"/>
          <w:lang w:val="en-US" w:eastAsia="zh-CN"/>
        </w:rPr>
        <w:t>0.99万元，支出</w:t>
      </w:r>
      <w:r>
        <w:rPr>
          <w:rFonts w:hint="eastAsia" w:ascii="Times New Roman" w:hAnsi="Times New Roman" w:eastAsia="方正仿宋_GBK" w:cs="方正仿宋_GBK"/>
          <w:color w:val="000000" w:themeColor="text1"/>
          <w:sz w:val="32"/>
          <w:szCs w:val="32"/>
        </w:rPr>
        <w:t>决算</w:t>
      </w:r>
      <w:r>
        <w:rPr>
          <w:rFonts w:ascii="Times New Roman" w:hAnsi="Times New Roman" w:eastAsia="方正仿宋_GBK" w:cs="Times New Roman"/>
          <w:color w:val="000000" w:themeColor="text1"/>
          <w:sz w:val="32"/>
          <w:szCs w:val="32"/>
        </w:rPr>
        <w:t>0.99</w:t>
      </w:r>
      <w:r>
        <w:rPr>
          <w:rFonts w:hint="eastAsia" w:ascii="Times New Roman" w:hAnsi="Times New Roman" w:eastAsia="方正仿宋_GBK" w:cs="方正仿宋_GBK"/>
          <w:color w:val="000000" w:themeColor="text1"/>
          <w:sz w:val="32"/>
          <w:szCs w:val="32"/>
        </w:rPr>
        <w:t>万元，占</w:t>
      </w:r>
      <w:r>
        <w:rPr>
          <w:rFonts w:hint="eastAsia" w:ascii="Times New Roman" w:hAnsi="Times New Roman" w:eastAsia="方正仿宋_GBK" w:cs="方正仿宋_GBK"/>
          <w:color w:val="000000" w:themeColor="text1"/>
          <w:sz w:val="32"/>
          <w:szCs w:val="32"/>
          <w:lang w:val="en-US" w:eastAsia="zh-CN"/>
        </w:rPr>
        <w:t>100</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方正仿宋_GBK"/>
          <w:color w:val="000000" w:themeColor="text1"/>
          <w:sz w:val="32"/>
          <w:szCs w:val="32"/>
        </w:rPr>
        <w:t>因公出国（境）费支出决算</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万元，占</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公务用车购置费及运行维护费支出决算</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万元，占</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。其中：</w:t>
      </w:r>
    </w:p>
    <w:p>
      <w:pPr>
        <w:pStyle w:val="10"/>
        <w:autoSpaceDE/>
        <w:autoSpaceDN/>
        <w:adjustRightInd/>
        <w:spacing w:line="600"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方正仿宋_GBK"/>
          <w:color w:val="000000" w:themeColor="text1"/>
          <w:sz w:val="32"/>
          <w:szCs w:val="32"/>
        </w:rPr>
        <w:t>．因公出国（境）费支出决算为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万元，全年安排因公出国（境）团组</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个，累计</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人次。</w:t>
      </w:r>
    </w:p>
    <w:p>
      <w:pPr>
        <w:pStyle w:val="10"/>
        <w:autoSpaceDE/>
        <w:autoSpaceDN/>
        <w:adjustRightInd/>
        <w:spacing w:line="625"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．公务接待费支出决算为</w:t>
      </w:r>
      <w:r>
        <w:rPr>
          <w:rFonts w:ascii="Times New Roman" w:hAnsi="Times New Roman" w:eastAsia="方正仿宋_GBK" w:cs="Times New Roman"/>
          <w:sz w:val="32"/>
          <w:szCs w:val="32"/>
        </w:rPr>
        <w:t>0.99</w:t>
      </w:r>
      <w:r>
        <w:rPr>
          <w:rFonts w:hint="eastAsia" w:ascii="Times New Roman" w:hAnsi="Times New Roman" w:eastAsia="方正仿宋_GBK" w:cs="方正仿宋_GBK"/>
          <w:sz w:val="32"/>
          <w:szCs w:val="32"/>
        </w:rPr>
        <w:t>万元，全年共接待来访团组</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个、来宾</w:t>
      </w:r>
      <w:r>
        <w:rPr>
          <w:rFonts w:ascii="Times New Roman" w:hAnsi="Times New Roman" w:eastAsia="方正仿宋_GBK" w:cs="Times New Roman"/>
          <w:sz w:val="32"/>
          <w:szCs w:val="32"/>
        </w:rPr>
        <w:t>75</w:t>
      </w:r>
      <w:r>
        <w:rPr>
          <w:rFonts w:hint="eastAsia" w:ascii="Times New Roman" w:hAnsi="Times New Roman" w:eastAsia="方正仿宋_GBK" w:cs="方正仿宋_GBK"/>
          <w:sz w:val="32"/>
          <w:szCs w:val="32"/>
        </w:rPr>
        <w:t>人次主要是信息化相关工作调研发生的接待支出。</w:t>
      </w:r>
    </w:p>
    <w:p>
      <w:pPr>
        <w:spacing w:line="625" w:lineRule="exact"/>
        <w:ind w:firstLine="640" w:firstLineChars="200"/>
        <w:rPr>
          <w:rFonts w:hint="eastAsia" w:ascii="Times New Roman" w:hAnsi="Times New Roman" w:eastAsia="方正仿宋_GBK" w:cs="Times New Roman"/>
          <w:color w:val="000000" w:themeColor="text1"/>
          <w:kern w:val="0"/>
          <w:sz w:val="32"/>
          <w:szCs w:val="32"/>
          <w:lang w:eastAsia="zh-CN"/>
        </w:rPr>
      </w:pPr>
      <w:r>
        <w:rPr>
          <w:rFonts w:ascii="Times New Roman" w:hAnsi="Times New Roman" w:eastAsia="方正仿宋_GBK" w:cs="Times New Roman"/>
          <w:color w:val="000000" w:themeColor="text1"/>
          <w:sz w:val="32"/>
          <w:szCs w:val="32"/>
        </w:rPr>
        <w:t>3</w:t>
      </w:r>
      <w:r>
        <w:rPr>
          <w:rFonts w:hint="eastAsia" w:ascii="Times New Roman" w:hAnsi="Times New Roman" w:eastAsia="方正仿宋_GBK" w:cs="方正仿宋_GBK"/>
          <w:color w:val="000000" w:themeColor="text1"/>
          <w:sz w:val="32"/>
          <w:szCs w:val="32"/>
        </w:rPr>
        <w:t>．公务用车购置费及运行维护费支出决算为</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万元，其中：公务用车购置费</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方正仿宋_GBK"/>
          <w:color w:val="000000" w:themeColor="text1"/>
          <w:sz w:val="32"/>
          <w:szCs w:val="32"/>
        </w:rPr>
        <w:t>万元</w:t>
      </w:r>
      <w:r>
        <w:rPr>
          <w:rFonts w:hint="eastAsia" w:ascii="Times New Roman" w:hAnsi="Times New Roman" w:eastAsia="方正仿宋_GBK" w:cs="方正仿宋_GBK"/>
          <w:color w:val="000000" w:themeColor="text1"/>
          <w:sz w:val="32"/>
          <w:szCs w:val="32"/>
          <w:lang w:eastAsia="zh-CN"/>
        </w:rPr>
        <w:t>。</w:t>
      </w:r>
      <w:r>
        <w:rPr>
          <w:rFonts w:hint="eastAsia" w:ascii="仿宋_GB2312" w:hAnsi="仿宋" w:eastAsia="仿宋_GB2312" w:cs="Times New Roman"/>
          <w:color w:val="000000" w:themeColor="text1"/>
          <w:sz w:val="32"/>
          <w:szCs w:val="32"/>
        </w:rPr>
        <w:t>湖南省质量技术监督局信息中心</w:t>
      </w:r>
      <w:r>
        <w:rPr>
          <w:rFonts w:hint="eastAsia" w:ascii="Times New Roman" w:hAnsi="Times New Roman" w:eastAsia="方正仿宋_GBK" w:cs="方正仿宋_GBK"/>
          <w:color w:val="000000" w:themeColor="text1"/>
          <w:sz w:val="32"/>
          <w:szCs w:val="32"/>
          <w:lang w:eastAsia="zh-CN"/>
        </w:rPr>
        <w:t>无公务用车</w:t>
      </w:r>
      <w:r>
        <w:rPr>
          <w:rFonts w:hint="eastAsia" w:ascii="Times New Roman" w:hAnsi="Times New Roman" w:eastAsia="方正仿宋_GBK" w:cs="方正仿宋_GBK"/>
          <w:color w:val="000000" w:themeColor="text1"/>
          <w:sz w:val="32"/>
          <w:szCs w:val="32"/>
          <w:lang w:val="en-US" w:eastAsia="zh-CN"/>
        </w:rPr>
        <w:t>,</w:t>
      </w:r>
      <w:r>
        <w:rPr>
          <w:rFonts w:hint="eastAsia" w:ascii="Times New Roman" w:hAnsi="Times New Roman" w:eastAsia="方正仿宋_GBK" w:cs="方正仿宋_GBK"/>
          <w:color w:val="auto"/>
          <w:sz w:val="32"/>
          <w:szCs w:val="32"/>
          <w:lang w:val="en-US" w:eastAsia="zh-CN"/>
        </w:rPr>
        <w:t>且保有量为0</w:t>
      </w:r>
      <w:r>
        <w:rPr>
          <w:rFonts w:hint="eastAsia" w:ascii="Times New Roman" w:hAnsi="Times New Roman" w:eastAsia="方正仿宋_GBK" w:cs="方正仿宋_GBK"/>
          <w:color w:val="auto"/>
          <w:sz w:val="32"/>
          <w:szCs w:val="32"/>
          <w:lang w:eastAsia="zh-CN"/>
        </w:rPr>
        <w:t>。</w:t>
      </w:r>
    </w:p>
    <w:p>
      <w:pPr>
        <w:pStyle w:val="10"/>
        <w:autoSpaceDE/>
        <w:autoSpaceDN/>
        <w:adjustRightInd/>
        <w:spacing w:line="625"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八、政府性基金预算收入支出决算情况</w:t>
      </w:r>
    </w:p>
    <w:p>
      <w:pPr>
        <w:pStyle w:val="10"/>
        <w:autoSpaceDE/>
        <w:autoSpaceDN/>
        <w:adjustRightInd/>
        <w:spacing w:line="625"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年度政府性基金预算财政拨款收入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万元；年初结转和结余</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万元，其中基本支出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万元，项目支出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万元；年末结转和结余</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w:t>
      </w:r>
    </w:p>
    <w:p>
      <w:pPr>
        <w:pStyle w:val="10"/>
        <w:autoSpaceDE/>
        <w:autoSpaceDN/>
        <w:adjustRightInd/>
        <w:spacing w:line="625"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九、关于单位运行经费支出说明</w:t>
      </w:r>
    </w:p>
    <w:p>
      <w:pPr>
        <w:pStyle w:val="10"/>
        <w:autoSpaceDE/>
        <w:autoSpaceDN/>
        <w:adjustRightInd/>
        <w:spacing w:line="625"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本单位</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年度运行经费支出</w:t>
      </w:r>
      <w:r>
        <w:rPr>
          <w:rFonts w:ascii="Times New Roman" w:hAnsi="Times New Roman" w:eastAsia="方正仿宋_GBK" w:cs="Times New Roman"/>
          <w:sz w:val="32"/>
          <w:szCs w:val="32"/>
        </w:rPr>
        <w:t>101.09</w:t>
      </w:r>
      <w:r>
        <w:rPr>
          <w:rFonts w:hint="eastAsia" w:ascii="Times New Roman" w:hAnsi="Times New Roman" w:eastAsia="方正仿宋_GBK" w:cs="方正仿宋_GBK"/>
          <w:sz w:val="32"/>
          <w:szCs w:val="32"/>
        </w:rPr>
        <w:t>万元，比年初预算数减少</w:t>
      </w:r>
      <w:r>
        <w:rPr>
          <w:rFonts w:ascii="Times New Roman" w:hAnsi="Times New Roman" w:eastAsia="方正仿宋_GBK" w:cs="Times New Roman"/>
          <w:sz w:val="32"/>
          <w:szCs w:val="32"/>
        </w:rPr>
        <w:t>29.71</w:t>
      </w:r>
      <w:r>
        <w:rPr>
          <w:rFonts w:hint="eastAsia" w:ascii="Times New Roman" w:hAnsi="Times New Roman" w:eastAsia="方正仿宋_GBK" w:cs="方正仿宋_GBK"/>
          <w:sz w:val="32"/>
          <w:szCs w:val="32"/>
        </w:rPr>
        <w:t>万元，降低</w:t>
      </w:r>
      <w:r>
        <w:rPr>
          <w:rFonts w:ascii="Times New Roman" w:hAnsi="Times New Roman" w:eastAsia="方正仿宋_GBK" w:cs="Times New Roman"/>
          <w:sz w:val="32"/>
          <w:szCs w:val="32"/>
        </w:rPr>
        <w:t>29%</w:t>
      </w:r>
      <w:r>
        <w:rPr>
          <w:rFonts w:hint="eastAsia" w:ascii="Times New Roman" w:hAnsi="Times New Roman" w:eastAsia="方正仿宋_GBK" w:cs="方正仿宋_GBK"/>
          <w:sz w:val="32"/>
          <w:szCs w:val="32"/>
        </w:rPr>
        <w:t>。主要原因是疫情期间培训费、差旅费、公务接待费等费用的支出减少。</w:t>
      </w:r>
    </w:p>
    <w:p>
      <w:pPr>
        <w:pStyle w:val="10"/>
        <w:autoSpaceDE/>
        <w:autoSpaceDN/>
        <w:adjustRightInd/>
        <w:spacing w:line="625"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十、一般性支出情况</w:t>
      </w:r>
    </w:p>
    <w:p>
      <w:pPr>
        <w:pStyle w:val="10"/>
        <w:autoSpaceDE/>
        <w:autoSpaceDN/>
        <w:adjustRightInd/>
        <w:spacing w:line="625"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年本部门开支会议费</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万元，人数</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人；开支培训费</w:t>
      </w:r>
      <w:r>
        <w:rPr>
          <w:rFonts w:ascii="Times New Roman" w:hAnsi="Times New Roman" w:eastAsia="方正仿宋_GBK" w:cs="Times New Roman"/>
          <w:sz w:val="32"/>
          <w:szCs w:val="32"/>
        </w:rPr>
        <w:t>20.6</w:t>
      </w:r>
      <w:r>
        <w:rPr>
          <w:rFonts w:hint="eastAsia" w:ascii="Times New Roman" w:hAnsi="Times New Roman" w:eastAsia="方正仿宋_GBK" w:cs="方正仿宋_GBK"/>
          <w:sz w:val="32"/>
          <w:szCs w:val="32"/>
        </w:rPr>
        <w:t>万元，用于开展相关业务培训，人数</w:t>
      </w: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人，内容为人事工作专题培训，财务人员能力提升培训及公文写作和</w:t>
      </w:r>
      <w:r>
        <w:rPr>
          <w:rFonts w:ascii="Times New Roman" w:hAnsi="Times New Roman" w:eastAsia="方正仿宋_GBK" w:cs="Times New Roman"/>
          <w:sz w:val="32"/>
          <w:szCs w:val="32"/>
        </w:rPr>
        <w:t>CISP</w:t>
      </w:r>
      <w:r>
        <w:rPr>
          <w:rFonts w:hint="eastAsia" w:ascii="Times New Roman" w:hAnsi="Times New Roman" w:eastAsia="方正仿宋_GBK" w:cs="方正仿宋_GBK"/>
          <w:sz w:val="32"/>
          <w:szCs w:val="32"/>
        </w:rPr>
        <w:t>培训等。</w:t>
      </w:r>
    </w:p>
    <w:p>
      <w:pPr>
        <w:pStyle w:val="10"/>
        <w:autoSpaceDE/>
        <w:autoSpaceDN/>
        <w:adjustRightInd/>
        <w:spacing w:line="625"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十一、关于政府采购支出说明</w:t>
      </w:r>
    </w:p>
    <w:p>
      <w:pPr>
        <w:pStyle w:val="10"/>
        <w:autoSpaceDE/>
        <w:autoSpaceDN/>
        <w:adjustRightInd/>
        <w:spacing w:line="625" w:lineRule="exact"/>
        <w:ind w:firstLine="640" w:firstLineChars="200"/>
        <w:jc w:val="both"/>
        <w:rPr>
          <w:rFonts w:hint="default"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方正仿宋_GBK"/>
          <w:sz w:val="32"/>
          <w:szCs w:val="32"/>
        </w:rPr>
        <w:t>本单位</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年度政府采购支出总额</w:t>
      </w:r>
      <w:r>
        <w:rPr>
          <w:rFonts w:ascii="Times New Roman" w:hAnsi="Times New Roman" w:eastAsia="方正仿宋_GBK" w:cs="Times New Roman"/>
          <w:sz w:val="32"/>
          <w:szCs w:val="32"/>
        </w:rPr>
        <w:t>83.95</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sz w:val="32"/>
          <w:szCs w:val="32"/>
          <w:lang w:eastAsia="zh-CN"/>
        </w:rPr>
        <w:t>，其中：</w:t>
      </w:r>
      <w:r>
        <w:rPr>
          <w:rFonts w:hint="eastAsia" w:ascii="Times New Roman" w:hAnsi="Times New Roman" w:eastAsia="方正仿宋_GBK" w:cs="方正仿宋_GBK"/>
          <w:color w:val="000000" w:themeColor="text1"/>
          <w:sz w:val="32"/>
          <w:szCs w:val="32"/>
        </w:rPr>
        <w:t>政府采购货物支出</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方正仿宋_GBK"/>
          <w:color w:val="000000" w:themeColor="text1"/>
          <w:sz w:val="32"/>
          <w:szCs w:val="32"/>
        </w:rPr>
        <w:t>万元、政府采购委托业务、服务支出</w:t>
      </w:r>
      <w:r>
        <w:rPr>
          <w:rFonts w:ascii="Times New Roman" w:hAnsi="Times New Roman" w:eastAsia="方正仿宋_GBK" w:cs="Times New Roman"/>
          <w:color w:val="000000" w:themeColor="text1"/>
          <w:sz w:val="32"/>
          <w:szCs w:val="32"/>
        </w:rPr>
        <w:t>81.93</w:t>
      </w:r>
      <w:r>
        <w:rPr>
          <w:rFonts w:hint="eastAsia" w:ascii="Times New Roman" w:hAnsi="Times New Roman" w:eastAsia="方正仿宋_GBK" w:cs="方正仿宋_GBK"/>
          <w:color w:val="000000" w:themeColor="text1"/>
          <w:sz w:val="32"/>
          <w:szCs w:val="32"/>
        </w:rPr>
        <w:t>万元</w:t>
      </w:r>
      <w:r>
        <w:rPr>
          <w:rFonts w:hint="eastAsia" w:ascii="Times New Roman" w:hAnsi="Times New Roman" w:eastAsia="方正仿宋_GBK" w:cs="方正仿宋_GBK"/>
          <w:color w:val="000000" w:themeColor="text1"/>
          <w:sz w:val="32"/>
          <w:szCs w:val="32"/>
          <w:lang w:eastAsia="zh-CN"/>
        </w:rPr>
        <w:t>。政府采购支出授于中小企业合同金额</w:t>
      </w:r>
      <w:r>
        <w:rPr>
          <w:rFonts w:hint="eastAsia" w:ascii="Times New Roman" w:hAnsi="Times New Roman" w:eastAsia="方正仿宋_GBK" w:cs="方正仿宋_GBK"/>
          <w:color w:val="000000" w:themeColor="text1"/>
          <w:sz w:val="32"/>
          <w:szCs w:val="32"/>
          <w:lang w:val="en-US" w:eastAsia="zh-CN"/>
        </w:rPr>
        <w:t>83.95万元，</w:t>
      </w:r>
      <w:r>
        <w:rPr>
          <w:rFonts w:hint="eastAsia" w:ascii="Times New Roman" w:hAnsi="Times New Roman" w:eastAsia="方正仿宋_GBK" w:cs="方正仿宋_GBK"/>
          <w:color w:val="000000" w:themeColor="text1"/>
          <w:sz w:val="32"/>
          <w:szCs w:val="32"/>
          <w:lang w:eastAsia="zh-CN"/>
        </w:rPr>
        <w:t>占比为</w:t>
      </w:r>
      <w:r>
        <w:rPr>
          <w:rFonts w:hint="eastAsia" w:ascii="Times New Roman" w:hAnsi="Times New Roman" w:eastAsia="方正仿宋_GBK" w:cs="方正仿宋_GBK"/>
          <w:color w:val="000000" w:themeColor="text1"/>
          <w:sz w:val="32"/>
          <w:szCs w:val="32"/>
          <w:lang w:val="en-US" w:eastAsia="zh-CN"/>
        </w:rPr>
        <w:t>100%。</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十二、关于国有资产占用情况说明</w:t>
      </w:r>
    </w:p>
    <w:p>
      <w:pPr>
        <w:pStyle w:val="10"/>
        <w:autoSpaceDE/>
        <w:autoSpaceDN/>
        <w:adjustRightInd/>
        <w:spacing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截至</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12</w:t>
      </w:r>
      <w:r>
        <w:rPr>
          <w:rFonts w:hint="eastAsia" w:ascii="Times New Roman" w:hAnsi="Times New Roman" w:eastAsia="方正仿宋_GBK" w:cs="方正仿宋_GBK"/>
          <w:sz w:val="32"/>
          <w:szCs w:val="32"/>
        </w:rPr>
        <w:t>月</w:t>
      </w:r>
      <w:r>
        <w:rPr>
          <w:rFonts w:ascii="Times New Roman" w:hAnsi="Times New Roman" w:eastAsia="方正仿宋_GBK" w:cs="Times New Roman"/>
          <w:sz w:val="32"/>
          <w:szCs w:val="32"/>
        </w:rPr>
        <w:t>31</w:t>
      </w:r>
      <w:r>
        <w:rPr>
          <w:rFonts w:hint="eastAsia" w:ascii="Times New Roman" w:hAnsi="Times New Roman" w:eastAsia="方正仿宋_GBK" w:cs="方正仿宋_GBK"/>
          <w:sz w:val="32"/>
          <w:szCs w:val="32"/>
        </w:rPr>
        <w:t>日，本单位共有车辆</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辆，其中，主要领导干部用车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辆，机要通信用车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辆、应急保障用车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辆、执法执勤用车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辆、特种专业技术用车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辆、其他用车</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辆；单位价值</w:t>
      </w:r>
      <w:r>
        <w:rPr>
          <w:rFonts w:ascii="Times New Roman" w:hAnsi="Times New Roman" w:eastAsia="方正仿宋_GBK" w:cs="Times New Roman"/>
          <w:sz w:val="32"/>
          <w:szCs w:val="32"/>
        </w:rPr>
        <w:t>50</w:t>
      </w:r>
      <w:r>
        <w:rPr>
          <w:rFonts w:hint="eastAsia" w:ascii="Times New Roman" w:hAnsi="Times New Roman" w:eastAsia="方正仿宋_GBK" w:cs="方正仿宋_GBK"/>
          <w:sz w:val="32"/>
          <w:szCs w:val="32"/>
        </w:rPr>
        <w:t>万元以上通用设备</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台（套）；单位价值</w:t>
      </w:r>
      <w:r>
        <w:rPr>
          <w:rFonts w:ascii="Times New Roman" w:hAnsi="Times New Roman" w:eastAsia="方正仿宋_GBK" w:cs="Times New Roman"/>
          <w:sz w:val="32"/>
          <w:szCs w:val="32"/>
        </w:rPr>
        <w:t>100</w:t>
      </w:r>
      <w:r>
        <w:rPr>
          <w:rFonts w:hint="eastAsia" w:ascii="Times New Roman" w:hAnsi="Times New Roman" w:eastAsia="方正仿宋_GBK" w:cs="方正仿宋_GBK"/>
          <w:sz w:val="32"/>
          <w:szCs w:val="32"/>
        </w:rPr>
        <w:t>万元以上专用设备</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台（套）。</w:t>
      </w:r>
    </w:p>
    <w:p>
      <w:pPr>
        <w:pStyle w:val="10"/>
        <w:autoSpaceDE/>
        <w:autoSpaceDN/>
        <w:adjustRightInd/>
        <w:spacing w:line="600" w:lineRule="exact"/>
        <w:ind w:firstLine="640" w:firstLineChars="200"/>
        <w:jc w:val="both"/>
        <w:outlineLvl w:val="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十三、关于</w:t>
      </w:r>
      <w:r>
        <w:rPr>
          <w:rFonts w:ascii="方正黑体_GBK" w:hAnsi="Times New Roman" w:eastAsia="方正黑体_GBK" w:cs="方正黑体_GBK"/>
          <w:sz w:val="32"/>
          <w:szCs w:val="32"/>
        </w:rPr>
        <w:t>2020</w:t>
      </w:r>
      <w:r>
        <w:rPr>
          <w:rFonts w:hint="eastAsia" w:ascii="方正黑体_GBK" w:hAnsi="Times New Roman" w:eastAsia="方正黑体_GBK" w:cs="方正黑体_GBK"/>
          <w:sz w:val="32"/>
          <w:szCs w:val="32"/>
        </w:rPr>
        <w:t>年度预算绩效情况的说明</w:t>
      </w: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湖南省质量技术监督局信息中心因</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年无项目经费，故没有开展部门预算绩效管理、绩效目标和绩效评价报告等相关工作。</w:t>
      </w: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autoSpaceDE/>
        <w:autoSpaceDN/>
        <w:adjustRightInd/>
        <w:spacing w:line="600" w:lineRule="exact"/>
        <w:ind w:firstLine="640" w:firstLineChars="200"/>
        <w:jc w:val="both"/>
        <w:rPr>
          <w:rFonts w:hint="eastAsia" w:ascii="Times New Roman" w:hAnsi="Times New Roman" w:eastAsia="方正仿宋_GBK" w:cs="方正仿宋_GBK"/>
          <w:sz w:val="32"/>
          <w:szCs w:val="32"/>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jc w:val="center"/>
        <w:rPr>
          <w:rFonts w:cs="Times New Roman"/>
          <w:sz w:val="52"/>
          <w:szCs w:val="52"/>
        </w:rPr>
      </w:pPr>
      <w:r>
        <w:rPr>
          <w:rFonts w:hint="eastAsia"/>
          <w:sz w:val="52"/>
          <w:szCs w:val="52"/>
        </w:rPr>
        <w:t>第</w:t>
      </w:r>
      <w:r>
        <w:rPr>
          <w:rFonts w:hint="eastAsia"/>
          <w:sz w:val="52"/>
          <w:szCs w:val="52"/>
          <w:lang w:eastAsia="zh-CN"/>
        </w:rPr>
        <w:t>四</w:t>
      </w:r>
      <w:r>
        <w:rPr>
          <w:rFonts w:hint="eastAsia"/>
          <w:sz w:val="52"/>
          <w:szCs w:val="52"/>
        </w:rPr>
        <w:t>部分</w:t>
      </w:r>
    </w:p>
    <w:p>
      <w:pPr>
        <w:pStyle w:val="10"/>
        <w:widowControl w:val="0"/>
        <w:numPr>
          <w:ilvl w:val="0"/>
          <w:numId w:val="0"/>
        </w:numPr>
        <w:autoSpaceDE/>
        <w:autoSpaceDN/>
        <w:adjustRightInd/>
        <w:spacing w:line="600" w:lineRule="exact"/>
        <w:ind w:firstLine="3120" w:firstLineChars="600"/>
        <w:jc w:val="both"/>
        <w:outlineLvl w:val="0"/>
        <w:rPr>
          <w:rFonts w:hint="eastAsia" w:ascii="方正黑体_GBK" w:hAnsi="Times New Roman" w:eastAsia="方正黑体_GBK" w:cs="方正黑体_GBK"/>
          <w:sz w:val="32"/>
          <w:szCs w:val="32"/>
          <w:lang w:val="en-US" w:eastAsia="zh-CN"/>
        </w:rPr>
      </w:pPr>
      <w:r>
        <w:rPr>
          <w:rFonts w:hint="eastAsia" w:eastAsia="方正黑体_GBK"/>
          <w:sz w:val="52"/>
          <w:szCs w:val="52"/>
          <w:lang w:eastAsia="zh-CN"/>
        </w:rPr>
        <w:t>名</w:t>
      </w:r>
      <w:r>
        <w:rPr>
          <w:rFonts w:hint="eastAsia" w:eastAsia="方正黑体_GBK"/>
          <w:sz w:val="52"/>
          <w:szCs w:val="52"/>
          <w:lang w:val="en-US" w:eastAsia="zh-CN"/>
        </w:rPr>
        <w:t xml:space="preserve"> </w:t>
      </w:r>
      <w:r>
        <w:rPr>
          <w:rFonts w:hint="eastAsia" w:eastAsia="方正黑体_GBK"/>
          <w:sz w:val="52"/>
          <w:szCs w:val="52"/>
          <w:lang w:eastAsia="zh-CN"/>
        </w:rPr>
        <w:t>词</w:t>
      </w:r>
      <w:r>
        <w:rPr>
          <w:rFonts w:hint="eastAsia" w:eastAsia="方正黑体_GBK"/>
          <w:sz w:val="52"/>
          <w:szCs w:val="52"/>
          <w:lang w:val="en-US" w:eastAsia="zh-CN"/>
        </w:rPr>
        <w:t xml:space="preserve"> </w:t>
      </w:r>
      <w:r>
        <w:rPr>
          <w:rFonts w:hint="eastAsia" w:eastAsia="方正黑体_GBK"/>
          <w:sz w:val="52"/>
          <w:szCs w:val="52"/>
          <w:lang w:eastAsia="zh-CN"/>
        </w:rPr>
        <w:t>解</w:t>
      </w:r>
      <w:r>
        <w:rPr>
          <w:rFonts w:hint="eastAsia" w:eastAsia="方正黑体_GBK"/>
          <w:sz w:val="52"/>
          <w:szCs w:val="52"/>
          <w:lang w:val="en-US" w:eastAsia="zh-CN"/>
        </w:rPr>
        <w:t xml:space="preserve"> </w:t>
      </w:r>
      <w:r>
        <w:rPr>
          <w:rFonts w:hint="eastAsia" w:eastAsia="方正黑体_GBK"/>
          <w:sz w:val="52"/>
          <w:szCs w:val="52"/>
          <w:lang w:eastAsia="zh-CN"/>
        </w:rPr>
        <w:t>释</w:t>
      </w: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pStyle w:val="10"/>
        <w:widowControl w:val="0"/>
        <w:numPr>
          <w:ilvl w:val="0"/>
          <w:numId w:val="0"/>
        </w:numPr>
        <w:autoSpaceDE/>
        <w:autoSpaceDN/>
        <w:adjustRightInd/>
        <w:spacing w:line="600" w:lineRule="exact"/>
        <w:jc w:val="both"/>
        <w:outlineLvl w:val="0"/>
        <w:rPr>
          <w:rFonts w:hint="eastAsia" w:ascii="方正黑体_GBK" w:hAnsi="Times New Roman" w:eastAsia="方正黑体_GBK" w:cs="方正黑体_GBK"/>
          <w:sz w:val="32"/>
          <w:szCs w:val="32"/>
          <w:lang w:val="en-US" w:eastAsia="zh-CN"/>
        </w:rPr>
      </w:pP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（一）一般公共预算财政拨款：</w:t>
      </w:r>
      <w:r>
        <w:rPr>
          <w:rFonts w:hint="eastAsia" w:ascii="仿宋" w:hAnsi="仿宋" w:eastAsia="仿宋" w:cs="Times New Roman"/>
          <w:color w:val="000000"/>
          <w:kern w:val="0"/>
          <w:sz w:val="32"/>
          <w:szCs w:val="32"/>
        </w:rPr>
        <w:t>本级财政部门当年拨付的财政预算资金。</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（二）其他收入：</w:t>
      </w:r>
      <w:r>
        <w:rPr>
          <w:rFonts w:hint="eastAsia" w:ascii="仿宋" w:hAnsi="仿宋" w:eastAsia="仿宋" w:cs="Times New Roman"/>
          <w:color w:val="000000"/>
          <w:kern w:val="0"/>
          <w:sz w:val="32"/>
          <w:szCs w:val="32"/>
        </w:rPr>
        <w:t>预算单位在“财政拨款、事业收入、经营收入、上级补助收入、附属单位缴款收入”等之外取得的各项收入。</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（三）基本支出：</w:t>
      </w:r>
      <w:r>
        <w:rPr>
          <w:rFonts w:hint="eastAsia" w:eastAsia="仿宋_GB2312"/>
          <w:kern w:val="0"/>
          <w:sz w:val="32"/>
          <w:szCs w:val="32"/>
        </w:rPr>
        <w:t>是预算</w:t>
      </w:r>
      <w:r>
        <w:rPr>
          <w:rFonts w:hint="eastAsia" w:ascii="仿宋" w:hAnsi="仿宋" w:eastAsia="仿宋" w:cs="Times New Roman"/>
          <w:color w:val="000000"/>
          <w:kern w:val="0"/>
          <w:sz w:val="32"/>
          <w:szCs w:val="32"/>
        </w:rPr>
        <w:t>单位为保障其正常运转，完成日常工作任务所发生的支出，包括人员支出和日常公用支出。</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（四）项目支出：</w:t>
      </w:r>
      <w:r>
        <w:rPr>
          <w:rFonts w:hint="eastAsia" w:eastAsia="仿宋_GB2312"/>
          <w:kern w:val="0"/>
          <w:sz w:val="32"/>
          <w:szCs w:val="32"/>
        </w:rPr>
        <w:t>是预算单位为完成其特定的行政工作任务或事业发展目标所发生的支出。</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（五）三公经费：</w:t>
      </w:r>
      <w:r>
        <w:rPr>
          <w:rFonts w:hint="eastAsia" w:eastAsia="仿宋_GB2312"/>
          <w:kern w:val="0"/>
          <w:sz w:val="32"/>
          <w:szCs w:val="32"/>
        </w:rPr>
        <w:t>政府部门用于财政拨款经费安排的因公出国（境）费用、公务用车购置及运行维护费用、公务接待费用。其中因公出国（境）费用反映单位公务出国（境）的住宿费、差旅费、伙食补助费、培训费等支出；公务用车购置及运行维护费用反映单位公务用车购置及维修费、燃料费、过路过桥费、保险费等支出；公务接待费反映单位按规定开支的各类公务接待（含外宾接待）支出。</w:t>
      </w:r>
    </w:p>
    <w:p>
      <w:pPr>
        <w:widowControl/>
        <w:spacing w:line="600" w:lineRule="exact"/>
        <w:ind w:firstLine="640" w:firstLineChars="200"/>
        <w:jc w:val="left"/>
        <w:rPr>
          <w:rFonts w:eastAsia="仿宋_GB2312"/>
          <w:kern w:val="0"/>
          <w:sz w:val="32"/>
          <w:szCs w:val="32"/>
        </w:rPr>
      </w:pPr>
      <w:r>
        <w:rPr>
          <w:rFonts w:hint="eastAsia" w:ascii="仿宋" w:hAnsi="仿宋" w:eastAsia="仿宋" w:cs="Times New Roman"/>
          <w:b/>
          <w:bCs/>
          <w:color w:val="000000"/>
          <w:kern w:val="0"/>
          <w:sz w:val="32"/>
          <w:szCs w:val="32"/>
        </w:rPr>
        <w:t>（六）机关运行经费：</w:t>
      </w:r>
      <w:r>
        <w:rPr>
          <w:rFonts w:hint="eastAsia" w:eastAsia="仿宋_GB2312"/>
          <w:kern w:val="0"/>
          <w:sz w:val="32"/>
          <w:szCs w:val="32"/>
        </w:rPr>
        <w:t>反映行政单位和参照公务员法管理事业单位履行一般行政管理职能、维持机关日常运转所必</w:t>
      </w:r>
      <w:r>
        <w:rPr>
          <w:rFonts w:hint="eastAsia" w:eastAsia="仿宋_GB2312"/>
          <w:kern w:val="0"/>
          <w:sz w:val="32"/>
          <w:szCs w:val="32"/>
          <w:lang w:eastAsia="zh-CN"/>
        </w:rPr>
        <w:t>需</w:t>
      </w:r>
      <w:r>
        <w:rPr>
          <w:rFonts w:hint="eastAsia" w:eastAsia="仿宋_GB2312"/>
          <w:kern w:val="0"/>
          <w:sz w:val="32"/>
          <w:szCs w:val="32"/>
        </w:rPr>
        <w:t>的，用公共预算财政拨款开支的费用，包括办公及印刷费、水电费、邮电费、取暖费、交通费、差旅费、会议费、福利费、物业管理费、日常维修费、专用材料费、一般购置费等费用。</w:t>
      </w:r>
      <w:bookmarkStart w:id="1" w:name="_GoBack"/>
      <w:bookmarkEnd w:id="1"/>
    </w:p>
    <w:p>
      <w:pPr>
        <w:pStyle w:val="10"/>
        <w:jc w:val="center"/>
        <w:rPr>
          <w:sz w:val="72"/>
          <w:szCs w:val="72"/>
        </w:rPr>
      </w:pPr>
    </w:p>
    <w:p>
      <w:pPr>
        <w:pStyle w:val="10"/>
        <w:numPr>
          <w:ilvl w:val="0"/>
          <w:numId w:val="0"/>
        </w:numPr>
        <w:autoSpaceDE/>
        <w:autoSpaceDN/>
        <w:adjustRightInd/>
        <w:spacing w:line="600" w:lineRule="exact"/>
        <w:jc w:val="both"/>
        <w:outlineLvl w:val="0"/>
        <w:rPr>
          <w:rFonts w:hint="default" w:ascii="方正黑体_GBK" w:hAnsi="Times New Roman" w:eastAsia="方正黑体_GBK" w:cs="方正黑体_GBK"/>
          <w:sz w:val="32"/>
          <w:szCs w:val="32"/>
          <w:lang w:val="en-US" w:eastAsia="zh-CN"/>
        </w:rPr>
      </w:pPr>
    </w:p>
    <w:sectPr>
      <w:pgSz w:w="11906" w:h="16838"/>
      <w:pgMar w:top="1985" w:right="1474" w:bottom="147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920C3"/>
    <w:multiLevelType w:val="multilevel"/>
    <w:tmpl w:val="5D3920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6F9"/>
    <w:rsid w:val="000117CD"/>
    <w:rsid w:val="00016D00"/>
    <w:rsid w:val="000209C1"/>
    <w:rsid w:val="00021427"/>
    <w:rsid w:val="0002229B"/>
    <w:rsid w:val="000273BD"/>
    <w:rsid w:val="000415B7"/>
    <w:rsid w:val="00041E3F"/>
    <w:rsid w:val="00055DAA"/>
    <w:rsid w:val="00061F7B"/>
    <w:rsid w:val="000658A3"/>
    <w:rsid w:val="000736BF"/>
    <w:rsid w:val="00074155"/>
    <w:rsid w:val="00083EE6"/>
    <w:rsid w:val="00085A0B"/>
    <w:rsid w:val="000A3F69"/>
    <w:rsid w:val="000B6457"/>
    <w:rsid w:val="000D1399"/>
    <w:rsid w:val="000D5747"/>
    <w:rsid w:val="000E2055"/>
    <w:rsid w:val="00103957"/>
    <w:rsid w:val="00106824"/>
    <w:rsid w:val="00135626"/>
    <w:rsid w:val="001423B7"/>
    <w:rsid w:val="00152C6D"/>
    <w:rsid w:val="00162D39"/>
    <w:rsid w:val="001654B4"/>
    <w:rsid w:val="001678BD"/>
    <w:rsid w:val="00176C56"/>
    <w:rsid w:val="0019183B"/>
    <w:rsid w:val="001A67DB"/>
    <w:rsid w:val="001C3C29"/>
    <w:rsid w:val="001D51E5"/>
    <w:rsid w:val="001E080D"/>
    <w:rsid w:val="001E53D0"/>
    <w:rsid w:val="001F0C3B"/>
    <w:rsid w:val="00201D76"/>
    <w:rsid w:val="00202C82"/>
    <w:rsid w:val="00214427"/>
    <w:rsid w:val="00217802"/>
    <w:rsid w:val="00226CB7"/>
    <w:rsid w:val="00264552"/>
    <w:rsid w:val="00264EF9"/>
    <w:rsid w:val="00265724"/>
    <w:rsid w:val="0027426B"/>
    <w:rsid w:val="002B7FAC"/>
    <w:rsid w:val="002C0602"/>
    <w:rsid w:val="002D427A"/>
    <w:rsid w:val="002E0A30"/>
    <w:rsid w:val="002F51E3"/>
    <w:rsid w:val="003030E5"/>
    <w:rsid w:val="003130C4"/>
    <w:rsid w:val="00316C4B"/>
    <w:rsid w:val="0032192B"/>
    <w:rsid w:val="003377FE"/>
    <w:rsid w:val="003479BD"/>
    <w:rsid w:val="0037197D"/>
    <w:rsid w:val="003768D5"/>
    <w:rsid w:val="00382209"/>
    <w:rsid w:val="003C47E6"/>
    <w:rsid w:val="003C4FC2"/>
    <w:rsid w:val="003E7330"/>
    <w:rsid w:val="00416E61"/>
    <w:rsid w:val="0042790C"/>
    <w:rsid w:val="00442DCF"/>
    <w:rsid w:val="004506F9"/>
    <w:rsid w:val="004526DD"/>
    <w:rsid w:val="004574A8"/>
    <w:rsid w:val="004717A2"/>
    <w:rsid w:val="00473DF3"/>
    <w:rsid w:val="00487911"/>
    <w:rsid w:val="00491741"/>
    <w:rsid w:val="004A24AB"/>
    <w:rsid w:val="004C355F"/>
    <w:rsid w:val="004E4CD6"/>
    <w:rsid w:val="00500102"/>
    <w:rsid w:val="00500E5F"/>
    <w:rsid w:val="005122EF"/>
    <w:rsid w:val="0051441A"/>
    <w:rsid w:val="00515280"/>
    <w:rsid w:val="00517C33"/>
    <w:rsid w:val="005223BE"/>
    <w:rsid w:val="00523644"/>
    <w:rsid w:val="0054069E"/>
    <w:rsid w:val="005418DB"/>
    <w:rsid w:val="00544866"/>
    <w:rsid w:val="00550378"/>
    <w:rsid w:val="005767CC"/>
    <w:rsid w:val="00582523"/>
    <w:rsid w:val="00590D9F"/>
    <w:rsid w:val="00595D26"/>
    <w:rsid w:val="0059736C"/>
    <w:rsid w:val="005A53FA"/>
    <w:rsid w:val="005A74E6"/>
    <w:rsid w:val="005B404E"/>
    <w:rsid w:val="005D4D55"/>
    <w:rsid w:val="005E2CFB"/>
    <w:rsid w:val="005F1149"/>
    <w:rsid w:val="005F3D1C"/>
    <w:rsid w:val="00601220"/>
    <w:rsid w:val="0062378F"/>
    <w:rsid w:val="00641842"/>
    <w:rsid w:val="0064243D"/>
    <w:rsid w:val="00651EEC"/>
    <w:rsid w:val="00676563"/>
    <w:rsid w:val="00686673"/>
    <w:rsid w:val="00691E8C"/>
    <w:rsid w:val="00695907"/>
    <w:rsid w:val="006A22C4"/>
    <w:rsid w:val="006A351B"/>
    <w:rsid w:val="006B0422"/>
    <w:rsid w:val="006C1B53"/>
    <w:rsid w:val="006D0622"/>
    <w:rsid w:val="006D349A"/>
    <w:rsid w:val="006D7730"/>
    <w:rsid w:val="006E5284"/>
    <w:rsid w:val="006F3EB5"/>
    <w:rsid w:val="006F61D9"/>
    <w:rsid w:val="00702E34"/>
    <w:rsid w:val="00703689"/>
    <w:rsid w:val="00703D7B"/>
    <w:rsid w:val="00704395"/>
    <w:rsid w:val="00715A2C"/>
    <w:rsid w:val="00717621"/>
    <w:rsid w:val="00720FF1"/>
    <w:rsid w:val="00727A53"/>
    <w:rsid w:val="0075347A"/>
    <w:rsid w:val="00787B42"/>
    <w:rsid w:val="007B237D"/>
    <w:rsid w:val="007C4539"/>
    <w:rsid w:val="007D1EDC"/>
    <w:rsid w:val="007F3657"/>
    <w:rsid w:val="007F5588"/>
    <w:rsid w:val="00812ED5"/>
    <w:rsid w:val="008277D9"/>
    <w:rsid w:val="00836957"/>
    <w:rsid w:val="0084478C"/>
    <w:rsid w:val="00850636"/>
    <w:rsid w:val="008507B2"/>
    <w:rsid w:val="0086638C"/>
    <w:rsid w:val="008712FA"/>
    <w:rsid w:val="008A3E8D"/>
    <w:rsid w:val="008B1094"/>
    <w:rsid w:val="008F534A"/>
    <w:rsid w:val="009237C4"/>
    <w:rsid w:val="00944C48"/>
    <w:rsid w:val="00950252"/>
    <w:rsid w:val="00964887"/>
    <w:rsid w:val="00967F5D"/>
    <w:rsid w:val="00994E56"/>
    <w:rsid w:val="009A0F95"/>
    <w:rsid w:val="009A2199"/>
    <w:rsid w:val="009B3ADF"/>
    <w:rsid w:val="009C3B52"/>
    <w:rsid w:val="009E5B5F"/>
    <w:rsid w:val="009E6817"/>
    <w:rsid w:val="009E6E9A"/>
    <w:rsid w:val="00A01D2B"/>
    <w:rsid w:val="00A42218"/>
    <w:rsid w:val="00A45848"/>
    <w:rsid w:val="00A70249"/>
    <w:rsid w:val="00A70B02"/>
    <w:rsid w:val="00A71D9F"/>
    <w:rsid w:val="00A86B52"/>
    <w:rsid w:val="00A92E9F"/>
    <w:rsid w:val="00AB436A"/>
    <w:rsid w:val="00B0689C"/>
    <w:rsid w:val="00B33BEA"/>
    <w:rsid w:val="00B57C9F"/>
    <w:rsid w:val="00B63572"/>
    <w:rsid w:val="00B776E1"/>
    <w:rsid w:val="00B845B3"/>
    <w:rsid w:val="00B85D8B"/>
    <w:rsid w:val="00BB4A40"/>
    <w:rsid w:val="00BC7348"/>
    <w:rsid w:val="00BD0165"/>
    <w:rsid w:val="00BD6C3E"/>
    <w:rsid w:val="00BE19A2"/>
    <w:rsid w:val="00BE3674"/>
    <w:rsid w:val="00BF1F91"/>
    <w:rsid w:val="00C10681"/>
    <w:rsid w:val="00C3049A"/>
    <w:rsid w:val="00C31B1E"/>
    <w:rsid w:val="00C75668"/>
    <w:rsid w:val="00C77645"/>
    <w:rsid w:val="00C82BD6"/>
    <w:rsid w:val="00CB3C31"/>
    <w:rsid w:val="00CE04C3"/>
    <w:rsid w:val="00CE2F15"/>
    <w:rsid w:val="00CE76A0"/>
    <w:rsid w:val="00D029CA"/>
    <w:rsid w:val="00D148C6"/>
    <w:rsid w:val="00D175F6"/>
    <w:rsid w:val="00D17A8A"/>
    <w:rsid w:val="00D415BA"/>
    <w:rsid w:val="00D644EE"/>
    <w:rsid w:val="00D95D24"/>
    <w:rsid w:val="00DB0E88"/>
    <w:rsid w:val="00DC7F5E"/>
    <w:rsid w:val="00DD06FF"/>
    <w:rsid w:val="00DD5FE9"/>
    <w:rsid w:val="00DF412E"/>
    <w:rsid w:val="00DF6D91"/>
    <w:rsid w:val="00E00C7A"/>
    <w:rsid w:val="00E23A76"/>
    <w:rsid w:val="00E37D6C"/>
    <w:rsid w:val="00E42FC3"/>
    <w:rsid w:val="00E521C3"/>
    <w:rsid w:val="00E55B68"/>
    <w:rsid w:val="00E67BE6"/>
    <w:rsid w:val="00E75BC8"/>
    <w:rsid w:val="00E8683C"/>
    <w:rsid w:val="00EA2B72"/>
    <w:rsid w:val="00F35314"/>
    <w:rsid w:val="00F51CEC"/>
    <w:rsid w:val="00F639E8"/>
    <w:rsid w:val="00F74360"/>
    <w:rsid w:val="00FB462F"/>
    <w:rsid w:val="00FE16FA"/>
    <w:rsid w:val="00FE328A"/>
    <w:rsid w:val="00FE6269"/>
    <w:rsid w:val="00FF5CD6"/>
    <w:rsid w:val="06281888"/>
    <w:rsid w:val="10131A05"/>
    <w:rsid w:val="137A3CD1"/>
    <w:rsid w:val="242248E9"/>
    <w:rsid w:val="24BE3CEB"/>
    <w:rsid w:val="2C9D40AD"/>
    <w:rsid w:val="38D51050"/>
    <w:rsid w:val="3BD779F3"/>
    <w:rsid w:val="3FFE993E"/>
    <w:rsid w:val="432D25B9"/>
    <w:rsid w:val="43AC2B49"/>
    <w:rsid w:val="490E1863"/>
    <w:rsid w:val="58B22159"/>
    <w:rsid w:val="5A697310"/>
    <w:rsid w:val="5FEEB6A9"/>
    <w:rsid w:val="632F378E"/>
    <w:rsid w:val="64EE1A9D"/>
    <w:rsid w:val="66F806E0"/>
    <w:rsid w:val="698D0C42"/>
    <w:rsid w:val="6C6174FE"/>
    <w:rsid w:val="6D2226D9"/>
    <w:rsid w:val="70904DC4"/>
    <w:rsid w:val="73DD72A6"/>
    <w:rsid w:val="778152BB"/>
    <w:rsid w:val="F7CBADF9"/>
    <w:rsid w:val="FAEC1932"/>
    <w:rsid w:val="FC5F1E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Header Char"/>
    <w:basedOn w:val="7"/>
    <w:link w:val="4"/>
    <w:qFormat/>
    <w:locked/>
    <w:uiPriority w:val="99"/>
    <w:rPr>
      <w:sz w:val="18"/>
      <w:szCs w:val="18"/>
    </w:rPr>
  </w:style>
  <w:style w:type="character" w:customStyle="1" w:styleId="9">
    <w:name w:val="Footer Char"/>
    <w:basedOn w:val="7"/>
    <w:link w:val="3"/>
    <w:qFormat/>
    <w:locked/>
    <w:uiPriority w:val="99"/>
    <w:rPr>
      <w:sz w:val="18"/>
      <w:szCs w:val="18"/>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1">
    <w:name w:val="List Paragraph"/>
    <w:basedOn w:val="1"/>
    <w:qFormat/>
    <w:uiPriority w:val="99"/>
    <w:pPr>
      <w:ind w:firstLine="420" w:firstLineChars="200"/>
    </w:pPr>
  </w:style>
  <w:style w:type="character" w:customStyle="1" w:styleId="12">
    <w:name w:val="Balloon Text Char"/>
    <w:basedOn w:val="7"/>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1558</Words>
  <Characters>8886</Characters>
  <Lines>0</Lines>
  <Paragraphs>0</Paragraphs>
  <TotalTime>4</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2020-07-03T10:32:00Z</dcterms:created>
  <dc:creator>李航 null</dc:creator>
  <cp:lastModifiedBy>kylin</cp:lastModifiedBy>
  <cp:lastPrinted>2021-09-11T10:55:00Z</cp:lastPrinted>
  <dcterms:modified xsi:type="dcterms:W3CDTF">2023-12-29T17:16:18Z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