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E6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1</w:t>
      </w:r>
    </w:p>
    <w:p w14:paraId="470B2BD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/>
          <w:sz w:val="32"/>
          <w:szCs w:val="32"/>
        </w:rPr>
      </w:pPr>
    </w:p>
    <w:p w14:paraId="43FD79D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湖南省知识产权协会会员权益</w:t>
      </w:r>
    </w:p>
    <w:p w14:paraId="2B0189B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F0A19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湖南省知识产权协会单位会员及个人会员缴纳会费后，可享受如下权利：</w:t>
      </w:r>
    </w:p>
    <w:p w14:paraId="0F5695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（一）享受协会章程中规定的相应会员权利；</w:t>
      </w:r>
    </w:p>
    <w:p w14:paraId="538DF9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）免费提供与知识产权创造、运用、保护有关的政策、维权等咨询服务；</w:t>
      </w:r>
    </w:p>
    <w:p w14:paraId="5D4284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优先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参加协会组织的各类学习、会议、培训、交流等活动；</w:t>
      </w:r>
    </w:p>
    <w:p w14:paraId="175EAF7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（四）优惠享受协会提供的各类服务性收费服务；</w:t>
      </w:r>
    </w:p>
    <w:p w14:paraId="08D5D2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）择优在协会的网站、公众号、出版物上发布会员单位或个人在知识产权工作方面取得的成绩、事迹等；</w:t>
      </w:r>
    </w:p>
    <w:p w14:paraId="6F6918E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）择优推荐参加上级有关单位举办的各类评比表彰活动；</w:t>
      </w:r>
    </w:p>
    <w:p w14:paraId="117DEE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）单位会员可推荐3 名个人会员并免除个人会员年度会费。</w:t>
      </w:r>
    </w:p>
    <w:p w14:paraId="3674F4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26C320-0721-4F5A-A2F3-86B7C292869F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7CB9F802-FD92-4985-91CA-383C0895132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950C746-9CBE-40CC-8EF1-1C09BFD9F4F0}"/>
  </w:font>
  <w:font w:name="方正黑体_GBK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4" w:fontKey="{16728655-55BC-4AFA-A26D-670933A5F2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810BB"/>
    <w:rsid w:val="54F810BB"/>
    <w:rsid w:val="7D7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2026-02-11T08:28:00Z</dcterms:created>
  <dc:creator>枫叶红</dc:creator>
  <cp:lastModifiedBy>枫叶红</cp:lastModifiedBy>
  <dcterms:modified xsi:type="dcterms:W3CDTF">2026-02-11T08:28:55Z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75510C53F087487D9548002381D23A9D_11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