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370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8"/>
        <w:gridCol w:w="3221"/>
        <w:gridCol w:w="3104"/>
      </w:tblGrid>
      <w:tr w14:paraId="7028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90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附件1：</w:t>
            </w:r>
          </w:p>
          <w:p w14:paraId="3FA84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湖南</w:t>
            </w: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知识产权保护专家库</w:t>
            </w:r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补充专家入库</w:t>
            </w:r>
          </w:p>
          <w:p w14:paraId="29029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名单</w:t>
            </w:r>
          </w:p>
          <w:p w14:paraId="03D94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（按专业领域类别和排名排序）</w:t>
            </w:r>
          </w:p>
        </w:tc>
      </w:tr>
      <w:tr w14:paraId="1A1B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7D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1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F0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BA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</w:tr>
      <w:tr w14:paraId="50FF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F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高东辉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C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北京三聚阳光知识产权服务集团有限公司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93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2ED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EA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2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刘田林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9E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北京偲霖知识产权代理事务所（普通合伙）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CF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74F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3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8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吴贵明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2B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北京康瑞律师事务所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D0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39F3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6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E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D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湖南天地人律师事务所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A7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0B71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8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C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吕东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C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北京同立钧成知识产权代理有限公司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FF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3A0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4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34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李慧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9F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北京康信知识产权代理有限责任公司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95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733F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F6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8A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王翔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32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美国奥睿律师事务所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15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</w:t>
            </w:r>
            <w:bookmarkStart w:id="0" w:name="_GoBack"/>
            <w:bookmarkEnd w:id="0"/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026E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15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A1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管健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6F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北京高文律师事务所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4680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3686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9E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6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桂佳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6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北京市环球律师事务所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708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7494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F7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7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何文钢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00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竞天公诚律师事务所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4F96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1327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EE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DF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胡刚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F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中国国际贸易促进委员会专利商标事务所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522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745A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CB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B9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柳冀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08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中国国际贸易促进委员会专利商标事务所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929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6A60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2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3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杨熠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C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北京市路盛律师事务所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9D61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62B6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66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6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宋建立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97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最高人民检察院知识产权检察办公室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F6B2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400B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C4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44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郑佳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D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北京中银律师事务所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EE47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1F88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6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93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程冰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59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金杜律师事务所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AC12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7805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6A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B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王爱民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D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澳门凯旋知识产权代理有限公司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DB05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3A87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D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2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冉寒冬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AA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英国懋真律师事务所深圳代表处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B4B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64FA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A7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3B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F3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中伦律师事务所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E7A9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国家海外知识产权纠纷应对指导中心推荐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 w14:paraId="60AA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DC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08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上海市汇业（长沙）律师事务所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0D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43B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3A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D6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谭铭炼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6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泰和泰（长沙）律师事务所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40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029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DF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CB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陶祥琲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91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长沙楚为知识产权代理事务所（普通合伙）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5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662D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8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6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颜喜东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76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F7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5C15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88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F8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方国欣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F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中车株洲电力机车研究所有限公司风电事业部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E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2D09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61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34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蒋楷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1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湖南蓝海智能装备有限公司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46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1069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3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34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廖国华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09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株洲千金药业股份有限公司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8A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6331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4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3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刘建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E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中科专利商标代理有限责任公司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B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099C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E3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66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熊兵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18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1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7E63C8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（计算机应用技术）</w:t>
            </w:r>
          </w:p>
        </w:tc>
      </w:tr>
      <w:tr w14:paraId="45EB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9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86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阳明辉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7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中南大学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2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专业技术类（分析化学）</w:t>
            </w:r>
          </w:p>
        </w:tc>
      </w:tr>
      <w:tr w14:paraId="07ED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1C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01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常硕其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9B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湖南杂交水稻研究中心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1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100367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（植物学）</w:t>
            </w:r>
          </w:p>
        </w:tc>
      </w:tr>
      <w:tr w14:paraId="7C61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41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36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陈文辉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A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衡阳师范学院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1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5C1086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（计算机工程）</w:t>
            </w:r>
          </w:p>
        </w:tc>
      </w:tr>
      <w:tr w14:paraId="3F30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E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9B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周怡波  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B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91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280" w:firstLineChars="10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专业技术类（化学）</w:t>
            </w:r>
          </w:p>
        </w:tc>
      </w:tr>
      <w:tr w14:paraId="5F8F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5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7E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甄彧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E8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EA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0959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E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F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王灿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C8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03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2ACE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D4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B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向沅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63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湖南云桩新能源科技有限公司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2B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76A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EA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F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2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9C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</w:tbl>
    <w:p w14:paraId="188C9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277D1"/>
    <w:rsid w:val="36B277D1"/>
    <w:rsid w:val="733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1117</Characters>
  <Lines>0</Lines>
  <Paragraphs>0</Paragraphs>
  <TotalTime>0</TotalTime>
  <ScaleCrop>false</ScaleCrop>
  <LinksUpToDate>false</LinksUpToDate>
  <CharactersWithSpaces>1119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2025-06-03T08:21:00Z</dcterms:created>
  <dc:creator>枫叶红</dc:creator>
  <cp:lastModifiedBy>枫叶红</cp:lastModifiedBy>
  <dcterms:modified xsi:type="dcterms:W3CDTF">2025-06-07T05:05:13Z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AFBF12A2B1B746919A402D671C75600F_11</vt:lpwstr>
  </property>
  <property fmtid="{D5CDD505-2E9C-101B-9397-08002B2CF9AE}" pid="4" name="KSOTemplateDocerSaveRecord">
    <vt:lpwstr>eyJoZGlkIjoiODdhZDNhMGNiM2JhZmI3OGZjYWM1YmZiNzk3MDkxNGQiLCJ1c2VySWQiOiI0MzYzOTYxNjcifQ==</vt:lpwstr>
  </property>
</Properties>
</file>