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0"/>
          <w:szCs w:val="44"/>
        </w:rPr>
      </w:pPr>
      <w:r>
        <w:rPr>
          <w:rFonts w:hint="eastAsia" w:asciiTheme="majorEastAsia" w:hAnsiTheme="majorEastAsia" w:eastAsiaTheme="majorEastAsia"/>
          <w:b/>
          <w:sz w:val="40"/>
          <w:szCs w:val="44"/>
        </w:rPr>
        <w:t>湖南省知识产权保护专家选聘公示名单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（按专业领域类别和姓氏拼音排序）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424" w:tblpY="635"/>
        <w:tblOverlap w:val="never"/>
        <w:tblW w:w="68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60"/>
        <w:gridCol w:w="3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名字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专业领域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金伟奇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肖文祥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张韧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钟立松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周宏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陈路长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郭庆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罗拓夫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王海涛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殷其亮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袁靖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张倍源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知识产权运营类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李岳林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知识产权运营类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邱轶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知识产权运营类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吴勤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知识产权运营类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知识产权运营类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蒋鑫伟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汪家琦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袁海伟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张全长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张作良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专业技术类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8517620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41E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2023-01-04T01:27:42Z</dcterms:created>
  <dc:creator>Administrator</dc:creator>
  <cp:lastModifiedBy>枫叶红</cp:lastModifiedBy>
  <dcterms:modified xsi:type="dcterms:W3CDTF">2023-01-04T01:27:55Z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A5F71C9C04F44BAAB657C05AF0F795BD</vt:lpwstr>
  </property>
</Properties>
</file>