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8A" w:rsidRDefault="00A97A1D" w:rsidP="00A7458A">
      <w:pPr>
        <w:shd w:val="clear" w:color="auto" w:fill="FFFFFF"/>
        <w:autoSpaceDE w:val="0"/>
        <w:autoSpaceDN w:val="0"/>
        <w:adjustRightInd w:val="0"/>
        <w:snapToGrid w:val="0"/>
        <w:rPr>
          <w:rFonts w:ascii="仿宋_GB2312" w:eastAsia="仿宋_GB2312" w:hAnsi="宋体" w:cs="宋体"/>
          <w:color w:val="333333"/>
          <w:kern w:val="0"/>
          <w:sz w:val="32"/>
          <w:szCs w:val="32"/>
        </w:rPr>
      </w:pPr>
      <w:r w:rsidRPr="00A97A1D">
        <w:rPr>
          <w:rFonts w:ascii="仿宋_GB2312" w:eastAsia="仿宋_GB2312" w:hAnsi="宋体" w:cs="宋体" w:hint="eastAsia"/>
          <w:color w:val="333333"/>
          <w:kern w:val="0"/>
          <w:sz w:val="32"/>
          <w:szCs w:val="32"/>
        </w:rPr>
        <w:t>市场监管总局</w:t>
      </w:r>
      <w:r w:rsidR="00A7458A">
        <w:rPr>
          <w:rFonts w:ascii="仿宋_GB2312" w:eastAsia="仿宋_GB2312" w:hAnsi="宋体" w:cs="宋体" w:hint="eastAsia"/>
          <w:color w:val="333333"/>
          <w:kern w:val="0"/>
          <w:sz w:val="32"/>
          <w:szCs w:val="32"/>
        </w:rPr>
        <w:t xml:space="preserve"> </w:t>
      </w:r>
      <w:r w:rsidR="00A7458A">
        <w:rPr>
          <w:rFonts w:ascii="仿宋_GB2312" w:eastAsia="仿宋_GB2312" w:hAnsi="宋体" w:cs="宋体"/>
          <w:color w:val="333333"/>
          <w:kern w:val="0"/>
          <w:sz w:val="32"/>
          <w:szCs w:val="32"/>
        </w:rPr>
        <w:t xml:space="preserve">  </w:t>
      </w:r>
      <w:r w:rsidRPr="00A97A1D">
        <w:rPr>
          <w:rFonts w:ascii="仿宋_GB2312" w:eastAsia="仿宋_GB2312" w:hAnsi="宋体" w:cs="宋体" w:hint="eastAsia"/>
          <w:color w:val="333333"/>
          <w:kern w:val="0"/>
          <w:sz w:val="32"/>
          <w:szCs w:val="32"/>
        </w:rPr>
        <w:t>工业和信息化部</w:t>
      </w:r>
      <w:r w:rsidR="00A7458A">
        <w:rPr>
          <w:rFonts w:ascii="仿宋_GB2312" w:eastAsia="仿宋_GB2312" w:hAnsi="宋体" w:cs="宋体" w:hint="eastAsia"/>
          <w:color w:val="333333"/>
          <w:kern w:val="0"/>
          <w:sz w:val="32"/>
          <w:szCs w:val="32"/>
        </w:rPr>
        <w:t xml:space="preserve"> </w:t>
      </w:r>
      <w:r w:rsidR="00A7458A">
        <w:rPr>
          <w:rFonts w:ascii="仿宋_GB2312" w:eastAsia="仿宋_GB2312" w:hAnsi="宋体" w:cs="宋体"/>
          <w:color w:val="333333"/>
          <w:kern w:val="0"/>
          <w:sz w:val="32"/>
          <w:szCs w:val="32"/>
        </w:rPr>
        <w:t xml:space="preserve">    </w:t>
      </w:r>
      <w:r w:rsidRPr="00A97A1D">
        <w:rPr>
          <w:rFonts w:ascii="仿宋_GB2312" w:eastAsia="仿宋_GB2312" w:hAnsi="宋体" w:cs="宋体" w:hint="eastAsia"/>
          <w:color w:val="333333"/>
          <w:kern w:val="0"/>
          <w:sz w:val="32"/>
          <w:szCs w:val="32"/>
        </w:rPr>
        <w:t>交通运输部</w:t>
      </w:r>
    </w:p>
    <w:p w:rsidR="00A97A1D" w:rsidRPr="00A97A1D" w:rsidRDefault="00A97A1D" w:rsidP="00A7458A">
      <w:pPr>
        <w:shd w:val="clear" w:color="auto" w:fill="FFFFFF"/>
        <w:autoSpaceDE w:val="0"/>
        <w:autoSpaceDN w:val="0"/>
        <w:adjustRightInd w:val="0"/>
        <w:snapToGrid w:val="0"/>
        <w:ind w:firstLineChars="150" w:firstLine="480"/>
        <w:rPr>
          <w:rFonts w:ascii="仿宋_GB2312" w:eastAsia="仿宋_GB2312" w:hAnsi="宋体" w:cs="宋体" w:hint="eastAsia"/>
          <w:color w:val="333333"/>
          <w:kern w:val="0"/>
          <w:sz w:val="32"/>
          <w:szCs w:val="32"/>
        </w:rPr>
      </w:pPr>
      <w:proofErr w:type="gramStart"/>
      <w:r w:rsidRPr="00A97A1D">
        <w:rPr>
          <w:rFonts w:ascii="仿宋_GB2312" w:eastAsia="仿宋_GB2312" w:hAnsi="宋体" w:cs="宋体" w:hint="eastAsia"/>
          <w:color w:val="333333"/>
          <w:kern w:val="0"/>
          <w:sz w:val="32"/>
          <w:szCs w:val="32"/>
        </w:rPr>
        <w:t>应急部</w:t>
      </w:r>
      <w:proofErr w:type="gramEnd"/>
      <w:r w:rsidR="00A7458A">
        <w:rPr>
          <w:rFonts w:ascii="仿宋_GB2312" w:eastAsia="仿宋_GB2312" w:hAnsi="宋体" w:cs="宋体" w:hint="eastAsia"/>
          <w:color w:val="333333"/>
          <w:kern w:val="0"/>
          <w:sz w:val="32"/>
          <w:szCs w:val="32"/>
        </w:rPr>
        <w:t xml:space="preserve">             </w:t>
      </w:r>
      <w:r w:rsidRPr="00A97A1D">
        <w:rPr>
          <w:rFonts w:ascii="仿宋_GB2312" w:eastAsia="仿宋_GB2312" w:hAnsi="宋体" w:cs="宋体" w:hint="eastAsia"/>
          <w:color w:val="333333"/>
          <w:kern w:val="0"/>
          <w:sz w:val="32"/>
          <w:szCs w:val="32"/>
        </w:rPr>
        <w:t>海关总署</w:t>
      </w:r>
    </w:p>
    <w:p w:rsidR="00A97A1D" w:rsidRPr="00A97A1D" w:rsidRDefault="00A97A1D" w:rsidP="00A7458A">
      <w:pPr>
        <w:shd w:val="clear" w:color="auto" w:fill="FFFFFF"/>
        <w:autoSpaceDE w:val="0"/>
        <w:autoSpaceDN w:val="0"/>
        <w:adjustRightInd w:val="0"/>
        <w:snapToGrid w:val="0"/>
        <w:spacing w:line="600" w:lineRule="atLeast"/>
        <w:jc w:val="center"/>
        <w:rPr>
          <w:rFonts w:ascii="仿宋_GB2312" w:eastAsia="仿宋_GB2312" w:hAnsi="宋体" w:cs="宋体"/>
          <w:color w:val="333333"/>
          <w:kern w:val="0"/>
          <w:sz w:val="32"/>
          <w:szCs w:val="32"/>
        </w:rPr>
      </w:pPr>
      <w:r w:rsidRPr="00A97A1D">
        <w:rPr>
          <w:rFonts w:ascii="仿宋_GB2312" w:eastAsia="仿宋_GB2312" w:hAnsi="宋体" w:cs="宋体" w:hint="eastAsia"/>
          <w:color w:val="333333"/>
          <w:kern w:val="0"/>
          <w:sz w:val="32"/>
          <w:szCs w:val="32"/>
        </w:rPr>
        <w:t> </w:t>
      </w:r>
      <w:r w:rsidRPr="00A97A1D">
        <w:rPr>
          <w:rFonts w:ascii="仿宋_GB2312" w:eastAsia="仿宋_GB2312" w:hAnsi="宋体" w:cs="宋体" w:hint="eastAsia"/>
          <w:color w:val="333333"/>
          <w:kern w:val="0"/>
          <w:sz w:val="32"/>
          <w:szCs w:val="32"/>
        </w:rPr>
        <w:t>通告</w:t>
      </w:r>
      <w:r w:rsidRPr="00A97A1D">
        <w:rPr>
          <w:rFonts w:ascii="Times New Roman" w:eastAsia="宋体" w:hAnsi="Times New Roman" w:cs="Times New Roman"/>
          <w:color w:val="333333"/>
          <w:kern w:val="0"/>
          <w:sz w:val="32"/>
          <w:szCs w:val="32"/>
        </w:rPr>
        <w:t>2022</w:t>
      </w:r>
      <w:r w:rsidRPr="00A97A1D">
        <w:rPr>
          <w:rFonts w:ascii="仿宋_GB2312" w:eastAsia="仿宋_GB2312" w:hAnsi="Times New Roman" w:cs="Times New Roman"/>
          <w:color w:val="333333"/>
          <w:kern w:val="0"/>
          <w:sz w:val="32"/>
          <w:szCs w:val="32"/>
        </w:rPr>
        <w:t>年第</w:t>
      </w:r>
      <w:r w:rsidRPr="00A97A1D">
        <w:rPr>
          <w:rFonts w:ascii="Times New Roman" w:eastAsia="宋体" w:hAnsi="Times New Roman" w:cs="Times New Roman"/>
          <w:color w:val="333333"/>
          <w:kern w:val="0"/>
          <w:sz w:val="32"/>
          <w:szCs w:val="32"/>
        </w:rPr>
        <w:t>6</w:t>
      </w:r>
      <w:r w:rsidRPr="00A97A1D">
        <w:rPr>
          <w:rFonts w:ascii="仿宋_GB2312" w:eastAsia="仿宋_GB2312" w:hAnsi="Times New Roman" w:cs="Times New Roman"/>
          <w:color w:val="333333"/>
          <w:kern w:val="0"/>
          <w:sz w:val="32"/>
          <w:szCs w:val="32"/>
        </w:rPr>
        <w:t>号</w:t>
      </w:r>
    </w:p>
    <w:p w:rsidR="00A97A1D" w:rsidRPr="00A97A1D" w:rsidRDefault="00A97A1D" w:rsidP="00A97A1D">
      <w:pPr>
        <w:widowControl/>
        <w:shd w:val="clear" w:color="auto" w:fill="FFFFFF"/>
        <w:spacing w:line="594" w:lineRule="atLeast"/>
        <w:jc w:val="center"/>
        <w:rPr>
          <w:rFonts w:ascii="宋体" w:eastAsia="宋体" w:hAnsi="宋体" w:cs="宋体" w:hint="eastAsia"/>
          <w:color w:val="333333"/>
          <w:kern w:val="0"/>
          <w:szCs w:val="21"/>
        </w:rPr>
      </w:pPr>
      <w:r w:rsidRPr="00A97A1D">
        <w:rPr>
          <w:rFonts w:ascii="方正小标宋简体" w:eastAsia="方正小标宋简体" w:hAnsi="宋体" w:cs="宋体" w:hint="eastAsia"/>
          <w:color w:val="333333"/>
          <w:kern w:val="0"/>
          <w:sz w:val="44"/>
          <w:szCs w:val="44"/>
        </w:rPr>
        <w:t> </w:t>
      </w:r>
    </w:p>
    <w:p w:rsidR="00A97A1D" w:rsidRPr="00A97A1D" w:rsidRDefault="00A97A1D" w:rsidP="00A7458A">
      <w:pPr>
        <w:widowControl/>
        <w:shd w:val="clear" w:color="auto" w:fill="FFFFFF"/>
        <w:spacing w:line="594" w:lineRule="atLeast"/>
        <w:jc w:val="center"/>
        <w:rPr>
          <w:rFonts w:ascii="宋体" w:eastAsia="宋体" w:hAnsi="宋体" w:cs="宋体" w:hint="eastAsia"/>
          <w:color w:val="333333"/>
          <w:kern w:val="0"/>
          <w:sz w:val="32"/>
          <w:szCs w:val="32"/>
        </w:rPr>
      </w:pPr>
      <w:r w:rsidRPr="00A97A1D">
        <w:rPr>
          <w:rFonts w:ascii="方正小标宋简体" w:eastAsia="方正小标宋简体" w:hAnsi="宋体" w:cs="宋体" w:hint="eastAsia"/>
          <w:color w:val="333333"/>
          <w:kern w:val="0"/>
          <w:sz w:val="44"/>
          <w:szCs w:val="44"/>
        </w:rPr>
        <w:t> </w:t>
      </w:r>
      <w:r w:rsidRPr="00A97A1D">
        <w:rPr>
          <w:rFonts w:ascii="方正小标宋简体" w:eastAsia="方正小标宋简体" w:hAnsi="宋体" w:cs="宋体" w:hint="eastAsia"/>
          <w:color w:val="333333"/>
          <w:kern w:val="0"/>
          <w:sz w:val="32"/>
          <w:szCs w:val="32"/>
        </w:rPr>
        <w:t>关于试行汽车</w:t>
      </w:r>
      <w:proofErr w:type="gramStart"/>
      <w:r w:rsidRPr="00A97A1D">
        <w:rPr>
          <w:rFonts w:ascii="方正小标宋简体" w:eastAsia="方正小标宋简体" w:hAnsi="宋体" w:cs="宋体" w:hint="eastAsia"/>
          <w:color w:val="333333"/>
          <w:kern w:val="0"/>
          <w:sz w:val="32"/>
          <w:szCs w:val="32"/>
        </w:rPr>
        <w:t>安全沙盒</w:t>
      </w:r>
      <w:proofErr w:type="gramEnd"/>
      <w:r w:rsidRPr="00A97A1D">
        <w:rPr>
          <w:rFonts w:ascii="方正小标宋简体" w:eastAsia="方正小标宋简体" w:hAnsi="宋体" w:cs="宋体" w:hint="eastAsia"/>
          <w:color w:val="333333"/>
          <w:kern w:val="0"/>
          <w:sz w:val="32"/>
          <w:szCs w:val="32"/>
        </w:rPr>
        <w:t>监管制度的通告</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Cs w:val="21"/>
        </w:rPr>
      </w:pPr>
      <w:r w:rsidRPr="00A97A1D">
        <w:rPr>
          <w:rFonts w:ascii="Times New Roman" w:eastAsia="宋体" w:hAnsi="Times New Roman" w:cs="Times New Roman"/>
          <w:color w:val="333333"/>
          <w:kern w:val="0"/>
          <w:sz w:val="32"/>
          <w:szCs w:val="32"/>
        </w:rPr>
        <w:t> </w:t>
      </w:r>
      <w:bookmarkStart w:id="0" w:name="_GoBack"/>
      <w:bookmarkEnd w:id="0"/>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当前，汽车产业电动化、智能化、网联化、共享</w:t>
      </w:r>
      <w:proofErr w:type="gramStart"/>
      <w:r w:rsidRPr="00A97A1D">
        <w:rPr>
          <w:rFonts w:ascii="仿宋_GB2312" w:eastAsia="仿宋_GB2312" w:hAnsi="宋体" w:cs="宋体" w:hint="eastAsia"/>
          <w:color w:val="333333"/>
          <w:kern w:val="0"/>
          <w:sz w:val="28"/>
          <w:szCs w:val="28"/>
        </w:rPr>
        <w:t>化加快</w:t>
      </w:r>
      <w:proofErr w:type="gramEnd"/>
      <w:r w:rsidRPr="00A97A1D">
        <w:rPr>
          <w:rFonts w:ascii="仿宋_GB2312" w:eastAsia="仿宋_GB2312" w:hAnsi="宋体" w:cs="宋体" w:hint="eastAsia"/>
          <w:color w:val="333333"/>
          <w:kern w:val="0"/>
          <w:sz w:val="28"/>
          <w:szCs w:val="28"/>
        </w:rPr>
        <w:t>融合发展，传统安全问题与新型安全问题叠加，汽车安全形势复杂多变。为更好保护消费者人身财产和社会公共安全，完善汽车新技术、新业态、新模式安全监管方式，根据《缺陷汽车产品召回管理条例》，拟在汽车安全领域</w:t>
      </w:r>
      <w:proofErr w:type="gramStart"/>
      <w:r w:rsidRPr="00A97A1D">
        <w:rPr>
          <w:rFonts w:ascii="仿宋_GB2312" w:eastAsia="仿宋_GB2312" w:hAnsi="宋体" w:cs="宋体" w:hint="eastAsia"/>
          <w:color w:val="333333"/>
          <w:kern w:val="0"/>
          <w:sz w:val="28"/>
          <w:szCs w:val="28"/>
        </w:rPr>
        <w:t>试行沙盒监管</w:t>
      </w:r>
      <w:proofErr w:type="gramEnd"/>
      <w:r w:rsidRPr="00A97A1D">
        <w:rPr>
          <w:rFonts w:ascii="仿宋_GB2312" w:eastAsia="仿宋_GB2312" w:hAnsi="宋体" w:cs="宋体" w:hint="eastAsia"/>
          <w:color w:val="333333"/>
          <w:kern w:val="0"/>
          <w:sz w:val="28"/>
          <w:szCs w:val="28"/>
        </w:rPr>
        <w:t>制度，现通告如下：</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黑体" w:eastAsia="黑体" w:hAnsi="黑体" w:cs="宋体" w:hint="eastAsia"/>
          <w:color w:val="333333"/>
          <w:kern w:val="0"/>
          <w:sz w:val="28"/>
          <w:szCs w:val="28"/>
        </w:rPr>
        <w:t>一、目的意义</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汽车</w:t>
      </w:r>
      <w:proofErr w:type="gramStart"/>
      <w:r w:rsidRPr="00A97A1D">
        <w:rPr>
          <w:rFonts w:ascii="仿宋_GB2312" w:eastAsia="仿宋_GB2312" w:hAnsi="宋体" w:cs="宋体" w:hint="eastAsia"/>
          <w:color w:val="333333"/>
          <w:kern w:val="0"/>
          <w:sz w:val="28"/>
          <w:szCs w:val="28"/>
        </w:rPr>
        <w:t>安全沙盒</w:t>
      </w:r>
      <w:proofErr w:type="gramEnd"/>
      <w:r w:rsidRPr="00A97A1D">
        <w:rPr>
          <w:rFonts w:ascii="仿宋_GB2312" w:eastAsia="仿宋_GB2312" w:hAnsi="宋体" w:cs="宋体" w:hint="eastAsia"/>
          <w:color w:val="333333"/>
          <w:kern w:val="0"/>
          <w:sz w:val="28"/>
          <w:szCs w:val="28"/>
        </w:rPr>
        <w:t>监管是在后市场阶段针对车辆应用的前沿技术进行深度安全测试的机制，主要目的是引导企业查找问题、改进设计、降低风险。作为传统监管方式的有益补充，汽车</w:t>
      </w:r>
      <w:proofErr w:type="gramStart"/>
      <w:r w:rsidRPr="00A97A1D">
        <w:rPr>
          <w:rFonts w:ascii="仿宋_GB2312" w:eastAsia="仿宋_GB2312" w:hAnsi="宋体" w:cs="宋体" w:hint="eastAsia"/>
          <w:color w:val="333333"/>
          <w:kern w:val="0"/>
          <w:sz w:val="28"/>
          <w:szCs w:val="28"/>
        </w:rPr>
        <w:t>安全沙盒</w:t>
      </w:r>
      <w:proofErr w:type="gramEnd"/>
      <w:r w:rsidRPr="00A97A1D">
        <w:rPr>
          <w:rFonts w:ascii="仿宋_GB2312" w:eastAsia="仿宋_GB2312" w:hAnsi="宋体" w:cs="宋体" w:hint="eastAsia"/>
          <w:color w:val="333333"/>
          <w:kern w:val="0"/>
          <w:sz w:val="28"/>
          <w:szCs w:val="28"/>
        </w:rPr>
        <w:t>监管变被动监管为主动监管，有利于更早地将前沿技术引发的质量安全问题纳入监管范围，提高应急处置能力，防范和化解重大风险，保护消费者合法权益，同时有利于鼓励企业技术创新，倡导最佳安全设计实践。</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黑体" w:eastAsia="黑体" w:hAnsi="黑体" w:cs="宋体" w:hint="eastAsia"/>
          <w:color w:val="333333"/>
          <w:kern w:val="0"/>
          <w:sz w:val="28"/>
          <w:szCs w:val="28"/>
        </w:rPr>
        <w:t>二、范围对象</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汽</w:t>
      </w:r>
      <w:r w:rsidRPr="00A97A1D">
        <w:rPr>
          <w:rFonts w:ascii="仿宋_GB2312" w:eastAsia="仿宋_GB2312" w:hAnsi="宋体" w:cs="宋体" w:hint="eastAsia"/>
          <w:color w:val="333333"/>
          <w:spacing w:val="6"/>
          <w:kern w:val="0"/>
          <w:sz w:val="28"/>
          <w:szCs w:val="28"/>
        </w:rPr>
        <w:t>车</w:t>
      </w:r>
      <w:proofErr w:type="gramStart"/>
      <w:r w:rsidRPr="00A97A1D">
        <w:rPr>
          <w:rFonts w:ascii="仿宋_GB2312" w:eastAsia="仿宋_GB2312" w:hAnsi="宋体" w:cs="宋体" w:hint="eastAsia"/>
          <w:color w:val="333333"/>
          <w:spacing w:val="6"/>
          <w:kern w:val="0"/>
          <w:sz w:val="28"/>
          <w:szCs w:val="28"/>
        </w:rPr>
        <w:t>安全沙盒</w:t>
      </w:r>
      <w:proofErr w:type="gramEnd"/>
      <w:r w:rsidRPr="00A97A1D">
        <w:rPr>
          <w:rFonts w:ascii="仿宋_GB2312" w:eastAsia="仿宋_GB2312" w:hAnsi="宋体" w:cs="宋体" w:hint="eastAsia"/>
          <w:color w:val="333333"/>
          <w:spacing w:val="6"/>
          <w:kern w:val="0"/>
          <w:sz w:val="28"/>
          <w:szCs w:val="28"/>
        </w:rPr>
        <w:t>监管坚守产品安全底线，采用目录清单制，在部分车型、部分地区试行开展，确保制度适度、安全、可控。</w:t>
      </w:r>
      <w:proofErr w:type="gramStart"/>
      <w:r w:rsidRPr="00A97A1D">
        <w:rPr>
          <w:rFonts w:ascii="仿宋_GB2312" w:eastAsia="仿宋_GB2312" w:hAnsi="宋体" w:cs="宋体" w:hint="eastAsia"/>
          <w:color w:val="333333"/>
          <w:spacing w:val="6"/>
          <w:kern w:val="0"/>
          <w:sz w:val="28"/>
          <w:szCs w:val="28"/>
        </w:rPr>
        <w:t>沙盒监管</w:t>
      </w:r>
      <w:proofErr w:type="gramEnd"/>
      <w:r w:rsidRPr="00A97A1D">
        <w:rPr>
          <w:rFonts w:ascii="仿宋_GB2312" w:eastAsia="仿宋_GB2312" w:hAnsi="宋体" w:cs="宋体" w:hint="eastAsia"/>
          <w:color w:val="333333"/>
          <w:spacing w:val="6"/>
          <w:kern w:val="0"/>
          <w:sz w:val="28"/>
          <w:szCs w:val="28"/>
        </w:rPr>
        <w:t>的对象是在车辆中使用的环境感知、智能决策、协同控制等前沿技术，或实现各级别自动驾驶、远程升级等新功能新模式。涉及的</w:t>
      </w:r>
      <w:r w:rsidRPr="00A97A1D">
        <w:rPr>
          <w:rFonts w:ascii="仿宋_GB2312" w:eastAsia="仿宋_GB2312" w:hAnsi="宋体" w:cs="宋体" w:hint="eastAsia"/>
          <w:color w:val="333333"/>
          <w:spacing w:val="6"/>
          <w:kern w:val="0"/>
          <w:sz w:val="28"/>
          <w:szCs w:val="28"/>
        </w:rPr>
        <w:lastRenderedPageBreak/>
        <w:t>车辆须通过《道路机动车辆生产企业及产品公告》等市场准入条件，取得强制性认证证书，经营性机动车应当符合营运安全相关标准。</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申请</w:t>
      </w:r>
      <w:proofErr w:type="gramStart"/>
      <w:r w:rsidRPr="00A97A1D">
        <w:rPr>
          <w:rFonts w:ascii="仿宋_GB2312" w:eastAsia="仿宋_GB2312" w:hAnsi="宋体" w:cs="宋体" w:hint="eastAsia"/>
          <w:color w:val="333333"/>
          <w:kern w:val="0"/>
          <w:sz w:val="28"/>
          <w:szCs w:val="28"/>
        </w:rPr>
        <w:t>进入沙盒监管</w:t>
      </w:r>
      <w:proofErr w:type="gramEnd"/>
      <w:r w:rsidRPr="00A97A1D">
        <w:rPr>
          <w:rFonts w:ascii="仿宋_GB2312" w:eastAsia="仿宋_GB2312" w:hAnsi="宋体" w:cs="宋体" w:hint="eastAsia"/>
          <w:color w:val="333333"/>
          <w:kern w:val="0"/>
          <w:sz w:val="28"/>
          <w:szCs w:val="28"/>
        </w:rPr>
        <w:t>的前沿技术或新功能新模式，以现有的科学认知难以预见其潜在风险。申请</w:t>
      </w:r>
      <w:proofErr w:type="gramStart"/>
      <w:r w:rsidRPr="00A97A1D">
        <w:rPr>
          <w:rFonts w:ascii="仿宋_GB2312" w:eastAsia="仿宋_GB2312" w:hAnsi="宋体" w:cs="宋体" w:hint="eastAsia"/>
          <w:color w:val="333333"/>
          <w:kern w:val="0"/>
          <w:sz w:val="28"/>
          <w:szCs w:val="28"/>
        </w:rPr>
        <w:t>进入沙盒监管</w:t>
      </w:r>
      <w:proofErr w:type="gramEnd"/>
      <w:r w:rsidRPr="00A97A1D">
        <w:rPr>
          <w:rFonts w:ascii="仿宋_GB2312" w:eastAsia="仿宋_GB2312" w:hAnsi="宋体" w:cs="宋体" w:hint="eastAsia"/>
          <w:color w:val="333333"/>
          <w:kern w:val="0"/>
          <w:sz w:val="28"/>
          <w:szCs w:val="28"/>
        </w:rPr>
        <w:t>的企业，包括相关汽车整车、零部件、互联网科技、数据服务、网络运营、软件与系统供应等，需要主动履行质量安全主体责任，和监管部门共同对未知风险进行研究和评估，且具备必要的测试和应急处置资源。</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黑体" w:eastAsia="黑体" w:hAnsi="黑体" w:cs="宋体" w:hint="eastAsia"/>
          <w:color w:val="333333"/>
          <w:kern w:val="0"/>
          <w:sz w:val="28"/>
          <w:szCs w:val="28"/>
        </w:rPr>
        <w:t>三、工作流程</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企业就前沿技术或新功能新模式申请</w:t>
      </w:r>
      <w:proofErr w:type="gramStart"/>
      <w:r w:rsidRPr="00A97A1D">
        <w:rPr>
          <w:rFonts w:ascii="仿宋_GB2312" w:eastAsia="仿宋_GB2312" w:hAnsi="宋体" w:cs="宋体" w:hint="eastAsia"/>
          <w:color w:val="333333"/>
          <w:kern w:val="0"/>
          <w:sz w:val="28"/>
          <w:szCs w:val="28"/>
        </w:rPr>
        <w:t>进入沙盒监管</w:t>
      </w:r>
      <w:proofErr w:type="gramEnd"/>
      <w:r w:rsidRPr="00A97A1D">
        <w:rPr>
          <w:rFonts w:ascii="仿宋_GB2312" w:eastAsia="仿宋_GB2312" w:hAnsi="宋体" w:cs="宋体" w:hint="eastAsia"/>
          <w:color w:val="333333"/>
          <w:kern w:val="0"/>
          <w:sz w:val="28"/>
          <w:szCs w:val="28"/>
        </w:rPr>
        <w:t>，需要经过申请、评估、测试、报告、退出等五个阶段。</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（一）申请：企业自愿向市场监管总局提交</w:t>
      </w:r>
      <w:proofErr w:type="gramStart"/>
      <w:r w:rsidRPr="00A97A1D">
        <w:rPr>
          <w:rFonts w:ascii="仿宋_GB2312" w:eastAsia="仿宋_GB2312" w:hAnsi="宋体" w:cs="宋体" w:hint="eastAsia"/>
          <w:color w:val="333333"/>
          <w:kern w:val="0"/>
          <w:sz w:val="28"/>
          <w:szCs w:val="28"/>
        </w:rPr>
        <w:t>进入沙盒监管</w:t>
      </w:r>
      <w:proofErr w:type="gramEnd"/>
      <w:r w:rsidRPr="00A97A1D">
        <w:rPr>
          <w:rFonts w:ascii="仿宋_GB2312" w:eastAsia="仿宋_GB2312" w:hAnsi="宋体" w:cs="宋体" w:hint="eastAsia"/>
          <w:color w:val="333333"/>
          <w:kern w:val="0"/>
          <w:sz w:val="28"/>
          <w:szCs w:val="28"/>
        </w:rPr>
        <w:t>的书面申请，申请内容包括测试车辆基本概况、适用范围、技术参数、创新性说明、质量安全风险自我评估情况、</w:t>
      </w:r>
      <w:proofErr w:type="gramStart"/>
      <w:r w:rsidRPr="00A97A1D">
        <w:rPr>
          <w:rFonts w:ascii="仿宋_GB2312" w:eastAsia="仿宋_GB2312" w:hAnsi="宋体" w:cs="宋体" w:hint="eastAsia"/>
          <w:color w:val="333333"/>
          <w:kern w:val="0"/>
          <w:sz w:val="28"/>
          <w:szCs w:val="28"/>
        </w:rPr>
        <w:t>进入沙盒监管</w:t>
      </w:r>
      <w:proofErr w:type="gramEnd"/>
      <w:r w:rsidRPr="00A97A1D">
        <w:rPr>
          <w:rFonts w:ascii="仿宋_GB2312" w:eastAsia="仿宋_GB2312" w:hAnsi="宋体" w:cs="宋体" w:hint="eastAsia"/>
          <w:color w:val="333333"/>
          <w:kern w:val="0"/>
          <w:sz w:val="28"/>
          <w:szCs w:val="28"/>
        </w:rPr>
        <w:t>必要性说明等等。</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（二）评估：针对企业申请，市场监管总局组织初期评估。评估通过后，针对应用的前沿技术或新功能新模式，企业需在</w:t>
      </w:r>
      <w:r w:rsidRPr="00A97A1D">
        <w:rPr>
          <w:rFonts w:ascii="Times New Roman" w:eastAsia="仿宋_GB2312" w:hAnsi="Times New Roman" w:cs="Times New Roman" w:hint="eastAsia"/>
          <w:color w:val="333333"/>
          <w:kern w:val="0"/>
          <w:sz w:val="28"/>
          <w:szCs w:val="28"/>
        </w:rPr>
        <w:t>2</w:t>
      </w:r>
      <w:r w:rsidRPr="00A97A1D">
        <w:rPr>
          <w:rFonts w:ascii="仿宋_GB2312" w:eastAsia="仿宋_GB2312" w:hAnsi="宋体" w:cs="宋体" w:hint="eastAsia"/>
          <w:color w:val="333333"/>
          <w:kern w:val="0"/>
          <w:sz w:val="28"/>
          <w:szCs w:val="28"/>
        </w:rPr>
        <w:t>个月内制定车辆深度测试方案，包括测试周期、测试项目、关键监测指标、消费者安全保障计划、质量安全风险防控及应急处置措施、测试实施监督及测试退出策略等。</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（三）测试：企业按照车辆深度测试方案开展测试，保存测试记录，测试周期一般不超过</w:t>
      </w:r>
      <w:r w:rsidRPr="00A97A1D">
        <w:rPr>
          <w:rFonts w:ascii="Times New Roman" w:eastAsia="仿宋_GB2312" w:hAnsi="Times New Roman" w:cs="Times New Roman" w:hint="eastAsia"/>
          <w:color w:val="333333"/>
          <w:kern w:val="0"/>
          <w:sz w:val="28"/>
          <w:szCs w:val="28"/>
        </w:rPr>
        <w:t>24</w:t>
      </w:r>
      <w:r w:rsidRPr="00A97A1D">
        <w:rPr>
          <w:rFonts w:ascii="仿宋_GB2312" w:eastAsia="仿宋_GB2312" w:hAnsi="宋体" w:cs="宋体" w:hint="eastAsia"/>
          <w:color w:val="333333"/>
          <w:kern w:val="0"/>
          <w:sz w:val="28"/>
          <w:szCs w:val="28"/>
        </w:rPr>
        <w:t>个月。在理由充分的情况下，企业可以根据实际测试情况，申请修改测试参数和调整测试周期。市场监管总局组织评估车辆深度测试方案，跟踪测试情况，提出产品设计、制造</w:t>
      </w:r>
      <w:r w:rsidRPr="00A97A1D">
        <w:rPr>
          <w:rFonts w:ascii="仿宋_GB2312" w:eastAsia="仿宋_GB2312" w:hAnsi="宋体" w:cs="宋体" w:hint="eastAsia"/>
          <w:color w:val="333333"/>
          <w:kern w:val="0"/>
          <w:sz w:val="28"/>
          <w:szCs w:val="28"/>
        </w:rPr>
        <w:lastRenderedPageBreak/>
        <w:t>改进建议，及时指导帮助企业查找质量安全问题。监督发现车辆深度测试无法达到预期要求的，立即通知企业终止测试；对可能涉及汽车零部件行业性质量问题的，加大相关产业质量检查和执法力度；对可能涉及产品标准的，健全标准化信息反馈机制，推动标准制修订；对可能涉及共性质量安全问题的，加强技术</w:t>
      </w:r>
      <w:proofErr w:type="gramStart"/>
      <w:r w:rsidRPr="00A97A1D">
        <w:rPr>
          <w:rFonts w:ascii="仿宋_GB2312" w:eastAsia="仿宋_GB2312" w:hAnsi="宋体" w:cs="宋体" w:hint="eastAsia"/>
          <w:color w:val="333333"/>
          <w:kern w:val="0"/>
          <w:sz w:val="28"/>
          <w:szCs w:val="28"/>
        </w:rPr>
        <w:t>研</w:t>
      </w:r>
      <w:proofErr w:type="gramEnd"/>
      <w:r w:rsidRPr="00A97A1D">
        <w:rPr>
          <w:rFonts w:ascii="仿宋_GB2312" w:eastAsia="仿宋_GB2312" w:hAnsi="宋体" w:cs="宋体" w:hint="eastAsia"/>
          <w:color w:val="333333"/>
          <w:kern w:val="0"/>
          <w:sz w:val="28"/>
          <w:szCs w:val="28"/>
        </w:rPr>
        <w:t>判，适时发布质量安全风险预警。</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四）报告：测试中期和末期，企业向市场监管总局提交车辆质量安全风险防范措施有效性评估报告，及必要的测试记录、新发现安全风险改进措施。测试周期内，企业获知与测试同类型、同批次车辆在中国市场上发生碰撞、火灾、远程控制、辅助驾驶失效等事故后，要按照《缺陷汽车产品召回管理条例》等规定开展调查分析，并在</w:t>
      </w:r>
      <w:r w:rsidRPr="00A97A1D">
        <w:rPr>
          <w:rFonts w:ascii="Times New Roman" w:eastAsia="仿宋_GB2312" w:hAnsi="Times New Roman" w:cs="Times New Roman" w:hint="eastAsia"/>
          <w:color w:val="333333"/>
          <w:kern w:val="0"/>
          <w:sz w:val="28"/>
          <w:szCs w:val="28"/>
        </w:rPr>
        <w:t>48</w:t>
      </w:r>
      <w:r w:rsidRPr="00A97A1D">
        <w:rPr>
          <w:rFonts w:ascii="仿宋_GB2312" w:eastAsia="仿宋_GB2312" w:hAnsi="宋体" w:cs="宋体" w:hint="eastAsia"/>
          <w:color w:val="333333"/>
          <w:kern w:val="0"/>
          <w:sz w:val="28"/>
          <w:szCs w:val="28"/>
        </w:rPr>
        <w:t>小时内向市场监管总局报告调查结果。</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（五）退出：企业完成车辆深度测试，达到预期目标，自动</w:t>
      </w:r>
      <w:proofErr w:type="gramStart"/>
      <w:r w:rsidRPr="00A97A1D">
        <w:rPr>
          <w:rFonts w:ascii="仿宋_GB2312" w:eastAsia="仿宋_GB2312" w:hAnsi="宋体" w:cs="宋体" w:hint="eastAsia"/>
          <w:color w:val="333333"/>
          <w:kern w:val="0"/>
          <w:sz w:val="28"/>
          <w:szCs w:val="28"/>
        </w:rPr>
        <w:t>退出沙盒监管</w:t>
      </w:r>
      <w:proofErr w:type="gramEnd"/>
      <w:r w:rsidRPr="00A97A1D">
        <w:rPr>
          <w:rFonts w:ascii="仿宋_GB2312" w:eastAsia="仿宋_GB2312" w:hAnsi="宋体" w:cs="宋体" w:hint="eastAsia"/>
          <w:color w:val="333333"/>
          <w:kern w:val="0"/>
          <w:sz w:val="28"/>
          <w:szCs w:val="28"/>
        </w:rPr>
        <w:t>。</w:t>
      </w:r>
      <w:proofErr w:type="gramStart"/>
      <w:r w:rsidRPr="00A97A1D">
        <w:rPr>
          <w:rFonts w:ascii="仿宋_GB2312" w:eastAsia="仿宋_GB2312" w:hAnsi="宋体" w:cs="宋体" w:hint="eastAsia"/>
          <w:color w:val="333333"/>
          <w:kern w:val="0"/>
          <w:sz w:val="28"/>
          <w:szCs w:val="28"/>
        </w:rPr>
        <w:t>沙盒监管</w:t>
      </w:r>
      <w:proofErr w:type="gramEnd"/>
      <w:r w:rsidRPr="00A97A1D">
        <w:rPr>
          <w:rFonts w:ascii="仿宋_GB2312" w:eastAsia="仿宋_GB2312" w:hAnsi="宋体" w:cs="宋体" w:hint="eastAsia"/>
          <w:color w:val="333333"/>
          <w:kern w:val="0"/>
          <w:sz w:val="28"/>
          <w:szCs w:val="28"/>
        </w:rPr>
        <w:t>周期内，企业提出退出申请的，需提交情况说明。</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黑体" w:eastAsia="黑体" w:hAnsi="黑体" w:cs="宋体" w:hint="eastAsia"/>
          <w:color w:val="333333"/>
          <w:kern w:val="0"/>
          <w:sz w:val="28"/>
          <w:szCs w:val="28"/>
        </w:rPr>
        <w:t>四、包容审慎监管</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市场监管总局搭建汽车质量安全监管服务云平台，对</w:t>
      </w:r>
      <w:proofErr w:type="gramStart"/>
      <w:r w:rsidRPr="00A97A1D">
        <w:rPr>
          <w:rFonts w:ascii="仿宋_GB2312" w:eastAsia="仿宋_GB2312" w:hAnsi="宋体" w:cs="宋体" w:hint="eastAsia"/>
          <w:color w:val="333333"/>
          <w:kern w:val="0"/>
          <w:sz w:val="28"/>
          <w:szCs w:val="28"/>
        </w:rPr>
        <w:t>进入沙盒监管</w:t>
      </w:r>
      <w:proofErr w:type="gramEnd"/>
      <w:r w:rsidRPr="00A97A1D">
        <w:rPr>
          <w:rFonts w:ascii="仿宋_GB2312" w:eastAsia="仿宋_GB2312" w:hAnsi="宋体" w:cs="宋体" w:hint="eastAsia"/>
          <w:color w:val="333333"/>
          <w:kern w:val="0"/>
          <w:sz w:val="28"/>
          <w:szCs w:val="28"/>
        </w:rPr>
        <w:t>的前沿技术或新功能新模式，采取企业自律、信息公开、公众监督、行政指导、质量服务等多元化管理，明确企业安全主体责任，保障消费者合法权益。</w:t>
      </w:r>
      <w:proofErr w:type="gramStart"/>
      <w:r w:rsidRPr="00A97A1D">
        <w:rPr>
          <w:rFonts w:ascii="仿宋_GB2312" w:eastAsia="仿宋_GB2312" w:hAnsi="宋体" w:cs="宋体" w:hint="eastAsia"/>
          <w:color w:val="333333"/>
          <w:kern w:val="0"/>
          <w:sz w:val="28"/>
          <w:szCs w:val="28"/>
        </w:rPr>
        <w:t>沙盒监管</w:t>
      </w:r>
      <w:proofErr w:type="gramEnd"/>
      <w:r w:rsidRPr="00A97A1D">
        <w:rPr>
          <w:rFonts w:ascii="仿宋_GB2312" w:eastAsia="仿宋_GB2312" w:hAnsi="宋体" w:cs="宋体" w:hint="eastAsia"/>
          <w:color w:val="333333"/>
          <w:kern w:val="0"/>
          <w:sz w:val="28"/>
          <w:szCs w:val="28"/>
        </w:rPr>
        <w:t>周期内，企业发生违反现行法律法规行为的，</w:t>
      </w:r>
      <w:proofErr w:type="gramStart"/>
      <w:r w:rsidRPr="00A97A1D">
        <w:rPr>
          <w:rFonts w:ascii="仿宋_GB2312" w:eastAsia="仿宋_GB2312" w:hAnsi="宋体" w:cs="宋体" w:hint="eastAsia"/>
          <w:color w:val="333333"/>
          <w:kern w:val="0"/>
          <w:sz w:val="28"/>
          <w:szCs w:val="28"/>
        </w:rPr>
        <w:t>不</w:t>
      </w:r>
      <w:proofErr w:type="gramEnd"/>
      <w:r w:rsidRPr="00A97A1D">
        <w:rPr>
          <w:rFonts w:ascii="仿宋_GB2312" w:eastAsia="仿宋_GB2312" w:hAnsi="宋体" w:cs="宋体" w:hint="eastAsia"/>
          <w:color w:val="333333"/>
          <w:kern w:val="0"/>
          <w:sz w:val="28"/>
          <w:szCs w:val="28"/>
        </w:rPr>
        <w:t>免除相关责任。</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黑体" w:eastAsia="黑体" w:hAnsi="黑体" w:cs="宋体" w:hint="eastAsia"/>
          <w:color w:val="333333"/>
          <w:kern w:val="0"/>
          <w:sz w:val="28"/>
          <w:szCs w:val="28"/>
        </w:rPr>
        <w:t>五、组织保障</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lastRenderedPageBreak/>
        <w:t>市场监管总局会同工业和信息化、交通运输、应急、海关等部门，加强车辆深度测试及评估、事故及调查报告等信息共享；组建专家委员会，</w:t>
      </w:r>
      <w:proofErr w:type="gramStart"/>
      <w:r w:rsidRPr="00A97A1D">
        <w:rPr>
          <w:rFonts w:ascii="仿宋_GB2312" w:eastAsia="仿宋_GB2312" w:hAnsi="宋体" w:cs="宋体" w:hint="eastAsia"/>
          <w:color w:val="333333"/>
          <w:kern w:val="0"/>
          <w:sz w:val="28"/>
          <w:szCs w:val="28"/>
        </w:rPr>
        <w:t>制定沙盒监管</w:t>
      </w:r>
      <w:proofErr w:type="gramEnd"/>
      <w:r w:rsidRPr="00A97A1D">
        <w:rPr>
          <w:rFonts w:ascii="仿宋_GB2312" w:eastAsia="仿宋_GB2312" w:hAnsi="宋体" w:cs="宋体" w:hint="eastAsia"/>
          <w:color w:val="333333"/>
          <w:kern w:val="0"/>
          <w:sz w:val="28"/>
          <w:szCs w:val="28"/>
        </w:rPr>
        <w:t>实施指南和配套措施；组织一批有能力、资质符合要求的技术机构，</w:t>
      </w:r>
      <w:proofErr w:type="gramStart"/>
      <w:r w:rsidRPr="00A97A1D">
        <w:rPr>
          <w:rFonts w:ascii="仿宋_GB2312" w:eastAsia="仿宋_GB2312" w:hAnsi="宋体" w:cs="宋体" w:hint="eastAsia"/>
          <w:color w:val="333333"/>
          <w:kern w:val="0"/>
          <w:sz w:val="28"/>
          <w:szCs w:val="28"/>
        </w:rPr>
        <w:t>承担沙盒监管</w:t>
      </w:r>
      <w:proofErr w:type="gramEnd"/>
      <w:r w:rsidRPr="00A97A1D">
        <w:rPr>
          <w:rFonts w:ascii="仿宋_GB2312" w:eastAsia="仿宋_GB2312" w:hAnsi="宋体" w:cs="宋体" w:hint="eastAsia"/>
          <w:color w:val="333333"/>
          <w:kern w:val="0"/>
          <w:sz w:val="28"/>
          <w:szCs w:val="28"/>
        </w:rPr>
        <w:t>相关技术评估、质量服务工作，</w:t>
      </w:r>
      <w:proofErr w:type="gramStart"/>
      <w:r w:rsidRPr="00A97A1D">
        <w:rPr>
          <w:rFonts w:ascii="仿宋_GB2312" w:eastAsia="仿宋_GB2312" w:hAnsi="宋体" w:cs="宋体" w:hint="eastAsia"/>
          <w:color w:val="333333"/>
          <w:kern w:val="0"/>
          <w:sz w:val="28"/>
          <w:szCs w:val="28"/>
        </w:rPr>
        <w:t>确保沙盒监管</w:t>
      </w:r>
      <w:proofErr w:type="gramEnd"/>
      <w:r w:rsidRPr="00A97A1D">
        <w:rPr>
          <w:rFonts w:ascii="仿宋_GB2312" w:eastAsia="仿宋_GB2312" w:hAnsi="宋体" w:cs="宋体" w:hint="eastAsia"/>
          <w:color w:val="333333"/>
          <w:kern w:val="0"/>
          <w:sz w:val="28"/>
          <w:szCs w:val="28"/>
        </w:rPr>
        <w:t>制度顺利实施。</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r w:rsidRPr="00A97A1D">
        <w:rPr>
          <w:rFonts w:ascii="仿宋_GB2312" w:eastAsia="仿宋_GB2312" w:hAnsi="宋体" w:cs="宋体" w:hint="eastAsia"/>
          <w:color w:val="333333"/>
          <w:kern w:val="0"/>
          <w:sz w:val="28"/>
          <w:szCs w:val="28"/>
        </w:rPr>
        <w:t>特此通告。</w:t>
      </w:r>
    </w:p>
    <w:p w:rsidR="00A97A1D" w:rsidRPr="00A97A1D" w:rsidRDefault="00A97A1D" w:rsidP="00A97A1D">
      <w:pPr>
        <w:widowControl/>
        <w:shd w:val="clear" w:color="auto" w:fill="FFFFFF"/>
        <w:spacing w:line="620" w:lineRule="atLeast"/>
        <w:ind w:firstLine="628"/>
        <w:rPr>
          <w:rFonts w:ascii="宋体" w:eastAsia="宋体" w:hAnsi="宋体" w:cs="宋体" w:hint="eastAsia"/>
          <w:color w:val="333333"/>
          <w:kern w:val="0"/>
          <w:sz w:val="28"/>
          <w:szCs w:val="28"/>
        </w:rPr>
      </w:pPr>
    </w:p>
    <w:tbl>
      <w:tblPr>
        <w:tblW w:w="0" w:type="auto"/>
        <w:jc w:val="center"/>
        <w:tblCellMar>
          <w:left w:w="0" w:type="dxa"/>
          <w:right w:w="0" w:type="dxa"/>
        </w:tblCellMar>
        <w:tblLook w:val="04A0" w:firstRow="1" w:lastRow="0" w:firstColumn="1" w:lastColumn="0" w:noHBand="0" w:noVBand="1"/>
      </w:tblPr>
      <w:tblGrid>
        <w:gridCol w:w="2791"/>
        <w:gridCol w:w="2752"/>
        <w:gridCol w:w="2763"/>
      </w:tblGrid>
      <w:tr w:rsidR="00A97A1D" w:rsidRPr="00A97A1D" w:rsidTr="00A97A1D">
        <w:trPr>
          <w:jc w:val="center"/>
        </w:trPr>
        <w:tc>
          <w:tcPr>
            <w:tcW w:w="3058" w:type="dxa"/>
            <w:tcBorders>
              <w:top w:val="nil"/>
              <w:left w:val="nil"/>
              <w:bottom w:val="nil"/>
              <w:right w:val="nil"/>
            </w:tcBorders>
            <w:tcMar>
              <w:top w:w="0" w:type="dxa"/>
              <w:left w:w="108" w:type="dxa"/>
              <w:bottom w:w="0" w:type="dxa"/>
              <w:right w:w="108" w:type="dxa"/>
            </w:tcMar>
            <w:hideMark/>
          </w:tcPr>
          <w:p w:rsidR="00A97A1D" w:rsidRPr="00A97A1D" w:rsidRDefault="00A97A1D" w:rsidP="00A97A1D">
            <w:pPr>
              <w:widowControl/>
              <w:spacing w:line="594" w:lineRule="atLeast"/>
              <w:jc w:val="center"/>
              <w:rPr>
                <w:rFonts w:ascii="微软雅黑" w:eastAsia="微软雅黑" w:hAnsi="微软雅黑" w:cs="宋体" w:hint="eastAsia"/>
                <w:kern w:val="0"/>
                <w:sz w:val="28"/>
                <w:szCs w:val="28"/>
              </w:rPr>
            </w:pPr>
            <w:r w:rsidRPr="00A97A1D">
              <w:rPr>
                <w:rFonts w:ascii="仿宋_GB2312" w:eastAsia="仿宋_GB2312" w:hAnsi="微软雅黑" w:cs="宋体" w:hint="eastAsia"/>
                <w:kern w:val="0"/>
                <w:sz w:val="28"/>
                <w:szCs w:val="28"/>
              </w:rPr>
              <w:t> </w:t>
            </w:r>
            <w:r w:rsidRPr="00A97A1D">
              <w:rPr>
                <w:rFonts w:ascii="仿宋_GB2312" w:eastAsia="仿宋_GB2312" w:hAnsi="微软雅黑" w:cs="宋体" w:hint="eastAsia"/>
                <w:kern w:val="0"/>
                <w:sz w:val="28"/>
                <w:szCs w:val="28"/>
              </w:rPr>
              <w:t xml:space="preserve"> </w:t>
            </w:r>
            <w:r w:rsidRPr="00A97A1D">
              <w:rPr>
                <w:rFonts w:ascii="仿宋_GB2312" w:eastAsia="仿宋_GB2312" w:hAnsi="微软雅黑" w:cs="宋体" w:hint="eastAsia"/>
                <w:kern w:val="0"/>
                <w:sz w:val="28"/>
                <w:szCs w:val="28"/>
              </w:rPr>
              <w:t> </w:t>
            </w:r>
            <w:r w:rsidRPr="00A97A1D">
              <w:rPr>
                <w:rFonts w:ascii="仿宋_GB2312" w:eastAsia="仿宋_GB2312" w:hAnsi="微软雅黑" w:cs="宋体" w:hint="eastAsia"/>
                <w:kern w:val="0"/>
                <w:sz w:val="28"/>
                <w:szCs w:val="28"/>
              </w:rPr>
              <w:t xml:space="preserve"> </w:t>
            </w:r>
            <w:r w:rsidRPr="00A97A1D">
              <w:rPr>
                <w:rFonts w:ascii="仿宋_GB2312" w:eastAsia="仿宋_GB2312" w:hAnsi="微软雅黑" w:cs="宋体" w:hint="eastAsia"/>
                <w:kern w:val="0"/>
                <w:sz w:val="28"/>
                <w:szCs w:val="28"/>
              </w:rPr>
              <w:t> </w:t>
            </w:r>
            <w:r w:rsidRPr="00A97A1D">
              <w:rPr>
                <w:rFonts w:ascii="仿宋_GB2312" w:eastAsia="仿宋_GB2312" w:hAnsi="微软雅黑" w:cs="宋体" w:hint="eastAsia"/>
                <w:kern w:val="0"/>
                <w:sz w:val="28"/>
                <w:szCs w:val="28"/>
              </w:rPr>
              <w:t>市场监管总局</w:t>
            </w:r>
          </w:p>
        </w:tc>
        <w:tc>
          <w:tcPr>
            <w:tcW w:w="3058" w:type="dxa"/>
            <w:tcBorders>
              <w:top w:val="nil"/>
              <w:left w:val="nil"/>
              <w:bottom w:val="nil"/>
              <w:right w:val="nil"/>
            </w:tcBorders>
            <w:tcMar>
              <w:top w:w="0" w:type="dxa"/>
              <w:left w:w="108" w:type="dxa"/>
              <w:bottom w:w="0" w:type="dxa"/>
              <w:right w:w="108" w:type="dxa"/>
            </w:tcMar>
            <w:hideMark/>
          </w:tcPr>
          <w:p w:rsidR="00A97A1D" w:rsidRPr="00A97A1D" w:rsidRDefault="00A97A1D" w:rsidP="00A97A1D">
            <w:pPr>
              <w:widowControl/>
              <w:spacing w:line="594" w:lineRule="atLeast"/>
              <w:jc w:val="center"/>
              <w:rPr>
                <w:rFonts w:ascii="微软雅黑" w:eastAsia="微软雅黑" w:hAnsi="微软雅黑" w:cs="宋体" w:hint="eastAsia"/>
                <w:kern w:val="0"/>
                <w:sz w:val="28"/>
                <w:szCs w:val="28"/>
              </w:rPr>
            </w:pPr>
            <w:r w:rsidRPr="00A97A1D">
              <w:rPr>
                <w:rFonts w:ascii="仿宋_GB2312" w:eastAsia="仿宋_GB2312" w:hAnsi="微软雅黑" w:cs="宋体" w:hint="eastAsia"/>
                <w:kern w:val="0"/>
                <w:sz w:val="28"/>
                <w:szCs w:val="28"/>
              </w:rPr>
              <w:t> </w:t>
            </w:r>
            <w:r w:rsidRPr="00A97A1D">
              <w:rPr>
                <w:rFonts w:ascii="仿宋_GB2312" w:eastAsia="仿宋_GB2312" w:hAnsi="微软雅黑" w:cs="宋体" w:hint="eastAsia"/>
                <w:kern w:val="0"/>
                <w:sz w:val="28"/>
                <w:szCs w:val="28"/>
              </w:rPr>
              <w:t xml:space="preserve"> 工业和信息化部</w:t>
            </w:r>
          </w:p>
        </w:tc>
        <w:tc>
          <w:tcPr>
            <w:tcW w:w="3058" w:type="dxa"/>
            <w:tcBorders>
              <w:top w:val="nil"/>
              <w:left w:val="nil"/>
              <w:bottom w:val="nil"/>
              <w:right w:val="nil"/>
            </w:tcBorders>
            <w:tcMar>
              <w:top w:w="0" w:type="dxa"/>
              <w:left w:w="108" w:type="dxa"/>
              <w:bottom w:w="0" w:type="dxa"/>
              <w:right w:w="108" w:type="dxa"/>
            </w:tcMar>
            <w:hideMark/>
          </w:tcPr>
          <w:p w:rsidR="00A97A1D" w:rsidRPr="00A97A1D" w:rsidRDefault="00A97A1D" w:rsidP="00A97A1D">
            <w:pPr>
              <w:widowControl/>
              <w:spacing w:line="594" w:lineRule="atLeast"/>
              <w:jc w:val="center"/>
              <w:rPr>
                <w:rFonts w:ascii="微软雅黑" w:eastAsia="微软雅黑" w:hAnsi="微软雅黑" w:cs="宋体" w:hint="eastAsia"/>
                <w:kern w:val="0"/>
                <w:sz w:val="28"/>
                <w:szCs w:val="28"/>
              </w:rPr>
            </w:pPr>
            <w:r w:rsidRPr="00A97A1D">
              <w:rPr>
                <w:rFonts w:ascii="仿宋_GB2312" w:eastAsia="仿宋_GB2312" w:hAnsi="微软雅黑" w:cs="宋体" w:hint="eastAsia"/>
                <w:kern w:val="0"/>
                <w:sz w:val="28"/>
                <w:szCs w:val="28"/>
              </w:rPr>
              <w:t> </w:t>
            </w:r>
            <w:r w:rsidRPr="00A97A1D">
              <w:rPr>
                <w:rFonts w:ascii="仿宋_GB2312" w:eastAsia="仿宋_GB2312" w:hAnsi="微软雅黑" w:cs="宋体" w:hint="eastAsia"/>
                <w:kern w:val="0"/>
                <w:sz w:val="28"/>
                <w:szCs w:val="28"/>
              </w:rPr>
              <w:t xml:space="preserve"> </w:t>
            </w:r>
            <w:r w:rsidRPr="00A97A1D">
              <w:rPr>
                <w:rFonts w:ascii="仿宋_GB2312" w:eastAsia="仿宋_GB2312" w:hAnsi="微软雅黑" w:cs="宋体" w:hint="eastAsia"/>
                <w:kern w:val="0"/>
                <w:sz w:val="28"/>
                <w:szCs w:val="28"/>
              </w:rPr>
              <w:t> </w:t>
            </w:r>
            <w:r w:rsidRPr="00A97A1D">
              <w:rPr>
                <w:rFonts w:ascii="仿宋_GB2312" w:eastAsia="仿宋_GB2312" w:hAnsi="微软雅黑" w:cs="宋体" w:hint="eastAsia"/>
                <w:kern w:val="0"/>
                <w:sz w:val="28"/>
                <w:szCs w:val="28"/>
              </w:rPr>
              <w:t>交通运输部</w:t>
            </w:r>
          </w:p>
        </w:tc>
      </w:tr>
    </w:tbl>
    <w:p w:rsidR="00A97A1D" w:rsidRPr="00A97A1D" w:rsidRDefault="00A7458A" w:rsidP="00A97A1D">
      <w:pPr>
        <w:widowControl/>
        <w:shd w:val="clear" w:color="auto" w:fill="FFFFFF"/>
        <w:spacing w:line="594" w:lineRule="atLeast"/>
        <w:jc w:val="center"/>
        <w:rPr>
          <w:rFonts w:ascii="宋体" w:eastAsia="宋体" w:hAnsi="宋体" w:cs="宋体" w:hint="eastAsia"/>
          <w:color w:val="333333"/>
          <w:kern w:val="0"/>
          <w:sz w:val="28"/>
          <w:szCs w:val="28"/>
        </w:rPr>
      </w:pPr>
      <w:r w:rsidRPr="00A7458A">
        <w:rPr>
          <w:rFonts w:ascii="仿宋_GB2312" w:eastAsia="仿宋_GB2312" w:hAnsi="宋体" w:cs="宋体" w:hint="eastAsia"/>
          <w:color w:val="333333"/>
          <w:kern w:val="0"/>
          <w:sz w:val="28"/>
          <w:szCs w:val="28"/>
        </w:rPr>
        <w:t xml:space="preserve">    </w:t>
      </w:r>
      <w:r w:rsidR="00A97A1D" w:rsidRPr="00A97A1D">
        <w:rPr>
          <w:rFonts w:ascii="仿宋_GB2312" w:eastAsia="仿宋_GB2312" w:hAnsi="宋体" w:cs="宋体" w:hint="eastAsia"/>
          <w:color w:val="333333"/>
          <w:kern w:val="0"/>
          <w:sz w:val="28"/>
          <w:szCs w:val="28"/>
        </w:rPr>
        <w:t>应急部</w:t>
      </w:r>
      <w:r w:rsidR="00A97A1D" w:rsidRPr="00A97A1D">
        <w:rPr>
          <w:rFonts w:ascii="仿宋_GB2312" w:eastAsia="仿宋_GB2312" w:hAnsi="宋体" w:cs="宋体" w:hint="eastAsia"/>
          <w:color w:val="333333"/>
          <w:kern w:val="0"/>
          <w:sz w:val="28"/>
          <w:szCs w:val="28"/>
        </w:rPr>
        <w:t>          </w:t>
      </w:r>
      <w:r w:rsidR="00A97A1D" w:rsidRPr="00A97A1D">
        <w:rPr>
          <w:rFonts w:ascii="仿宋_GB2312" w:eastAsia="仿宋_GB2312" w:hAnsi="宋体" w:cs="宋体" w:hint="eastAsia"/>
          <w:color w:val="333333"/>
          <w:kern w:val="0"/>
          <w:sz w:val="28"/>
          <w:szCs w:val="28"/>
        </w:rPr>
        <w:t>海关总署</w:t>
      </w:r>
    </w:p>
    <w:p w:rsidR="00A97A1D" w:rsidRPr="00A97A1D" w:rsidRDefault="00A97A1D" w:rsidP="00A97A1D">
      <w:pPr>
        <w:widowControl/>
        <w:shd w:val="clear" w:color="auto" w:fill="FFFFFF"/>
        <w:spacing w:line="594" w:lineRule="atLeast"/>
        <w:jc w:val="center"/>
        <w:rPr>
          <w:rFonts w:ascii="宋体" w:eastAsia="宋体" w:hAnsi="宋体" w:cs="宋体" w:hint="eastAsia"/>
          <w:color w:val="333333"/>
          <w:kern w:val="0"/>
          <w:sz w:val="28"/>
          <w:szCs w:val="28"/>
        </w:rPr>
      </w:pPr>
    </w:p>
    <w:p w:rsidR="00A97A1D" w:rsidRPr="00A97A1D" w:rsidRDefault="00A97A1D" w:rsidP="00A97A1D">
      <w:pPr>
        <w:widowControl/>
        <w:shd w:val="clear" w:color="auto" w:fill="FFFFFF"/>
        <w:spacing w:line="594" w:lineRule="atLeast"/>
        <w:jc w:val="center"/>
        <w:rPr>
          <w:rFonts w:ascii="宋体" w:eastAsia="宋体" w:hAnsi="宋体" w:cs="宋体" w:hint="eastAsia"/>
          <w:color w:val="333333"/>
          <w:kern w:val="0"/>
          <w:sz w:val="28"/>
          <w:szCs w:val="28"/>
        </w:rPr>
      </w:pPr>
      <w:r w:rsidRPr="00A97A1D">
        <w:rPr>
          <w:rFonts w:ascii="Times New Roman" w:eastAsia="仿宋_GB2312" w:hAnsi="Times New Roman" w:cs="Times New Roman" w:hint="eastAsia"/>
          <w:color w:val="333333"/>
          <w:kern w:val="0"/>
          <w:sz w:val="28"/>
          <w:szCs w:val="28"/>
        </w:rPr>
        <w:t>                                              2022</w:t>
      </w:r>
      <w:r w:rsidRPr="00A97A1D">
        <w:rPr>
          <w:rFonts w:ascii="仿宋_GB2312" w:eastAsia="仿宋_GB2312" w:hAnsi="宋体" w:cs="宋体" w:hint="eastAsia"/>
          <w:color w:val="333333"/>
          <w:kern w:val="0"/>
          <w:sz w:val="28"/>
          <w:szCs w:val="28"/>
        </w:rPr>
        <w:t>年</w:t>
      </w:r>
      <w:r w:rsidRPr="00A97A1D">
        <w:rPr>
          <w:rFonts w:ascii="Times New Roman" w:eastAsia="仿宋_GB2312" w:hAnsi="Times New Roman" w:cs="Times New Roman" w:hint="eastAsia"/>
          <w:color w:val="333333"/>
          <w:kern w:val="0"/>
          <w:sz w:val="28"/>
          <w:szCs w:val="28"/>
        </w:rPr>
        <w:t>2</w:t>
      </w:r>
      <w:r w:rsidRPr="00A97A1D">
        <w:rPr>
          <w:rFonts w:ascii="仿宋_GB2312" w:eastAsia="仿宋_GB2312" w:hAnsi="宋体" w:cs="宋体" w:hint="eastAsia"/>
          <w:color w:val="333333"/>
          <w:kern w:val="0"/>
          <w:sz w:val="28"/>
          <w:szCs w:val="28"/>
        </w:rPr>
        <w:t>月</w:t>
      </w:r>
      <w:r w:rsidRPr="00A97A1D">
        <w:rPr>
          <w:rFonts w:ascii="Times New Roman" w:eastAsia="仿宋_GB2312" w:hAnsi="Times New Roman" w:cs="Times New Roman" w:hint="eastAsia"/>
          <w:color w:val="333333"/>
          <w:kern w:val="0"/>
          <w:sz w:val="28"/>
          <w:szCs w:val="28"/>
        </w:rPr>
        <w:t>25</w:t>
      </w:r>
      <w:r w:rsidRPr="00A97A1D">
        <w:rPr>
          <w:rFonts w:ascii="仿宋_GB2312" w:eastAsia="仿宋_GB2312" w:hAnsi="宋体" w:cs="宋体" w:hint="eastAsia"/>
          <w:color w:val="333333"/>
          <w:kern w:val="0"/>
          <w:sz w:val="28"/>
          <w:szCs w:val="28"/>
        </w:rPr>
        <w:t>日</w:t>
      </w:r>
    </w:p>
    <w:sectPr w:rsidR="00A97A1D" w:rsidRPr="00A97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33"/>
    <w:rsid w:val="00015233"/>
    <w:rsid w:val="00A7458A"/>
    <w:rsid w:val="00A97A1D"/>
    <w:rsid w:val="00EB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BA52"/>
  <w15:chartTrackingRefBased/>
  <w15:docId w15:val="{850FEB07-052A-4198-BEC3-A6A15E3E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600518">
      <w:bodyDiv w:val="1"/>
      <w:marLeft w:val="0"/>
      <w:marRight w:val="0"/>
      <w:marTop w:val="0"/>
      <w:marBottom w:val="0"/>
      <w:divBdr>
        <w:top w:val="none" w:sz="0" w:space="0" w:color="auto"/>
        <w:left w:val="none" w:sz="0" w:space="0" w:color="auto"/>
        <w:bottom w:val="none" w:sz="0" w:space="0" w:color="auto"/>
        <w:right w:val="none" w:sz="0" w:space="0" w:color="auto"/>
      </w:divBdr>
    </w:div>
    <w:div w:id="15245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2022-04-06T03:49:00Z</dcterms:created>
  <dcterms:modified xsi:type="dcterms:W3CDTF">2022-04-06T03:52:00Z</dcterms:modified>
</cp:coreProperties>
</file>